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631"/>
      </w:tblGrid>
      <w:tr w:rsidR="00D55759">
        <w:trPr>
          <w:divId w:val="681904609"/>
        </w:trPr>
        <w:tc>
          <w:tcPr>
            <w:tcW w:w="3348" w:type="dxa"/>
            <w:tcMar>
              <w:top w:w="0" w:type="dxa"/>
              <w:left w:w="108" w:type="dxa"/>
              <w:bottom w:w="0" w:type="dxa"/>
              <w:right w:w="108" w:type="dxa"/>
            </w:tcMar>
            <w:hideMark/>
          </w:tcPr>
          <w:p w:rsidR="00D55759" w:rsidRDefault="00D55759">
            <w:pPr>
              <w:pStyle w:val="NormalWeb"/>
              <w:spacing w:before="120" w:beforeAutospacing="0"/>
              <w:jc w:val="center"/>
            </w:pPr>
            <w:bookmarkStart w:id="0" w:name="_GoBack"/>
            <w:bookmarkEnd w:id="0"/>
            <w:r w:rsidRPr="00DD6D35">
              <w:rPr>
                <w:sz w:val="20"/>
                <w:szCs w:val="20"/>
              </w:rPr>
              <w:t>BỘ TÀI CHÍNH</w:t>
            </w:r>
            <w:r w:rsidRPr="00DD6D35">
              <w:rPr>
                <w:b/>
                <w:bCs/>
                <w:sz w:val="20"/>
                <w:szCs w:val="20"/>
              </w:rPr>
              <w:br/>
              <w:t>TỔNG CỤC THUẾ</w:t>
            </w:r>
            <w:r w:rsidRPr="00DD6D35">
              <w:rPr>
                <w:b/>
                <w:bCs/>
                <w:sz w:val="20"/>
                <w:szCs w:val="20"/>
              </w:rPr>
              <w:br/>
              <w:t>--------</w:t>
            </w:r>
          </w:p>
        </w:tc>
        <w:tc>
          <w:tcPr>
            <w:tcW w:w="5631" w:type="dxa"/>
            <w:tcMar>
              <w:top w:w="0" w:type="dxa"/>
              <w:left w:w="108" w:type="dxa"/>
              <w:bottom w:w="0" w:type="dxa"/>
              <w:right w:w="108" w:type="dxa"/>
            </w:tcMar>
            <w:hideMark/>
          </w:tcPr>
          <w:p w:rsidR="00D55759" w:rsidRDefault="00D55759">
            <w:pPr>
              <w:pStyle w:val="NormalWeb"/>
              <w:spacing w:before="120" w:beforeAutospacing="0"/>
              <w:jc w:val="center"/>
            </w:pPr>
            <w:r w:rsidRPr="00DD6D35">
              <w:rPr>
                <w:b/>
                <w:bCs/>
                <w:sz w:val="20"/>
                <w:szCs w:val="20"/>
              </w:rPr>
              <w:t>CỘNG HÒA XÃ HỘI CHỦ NGHĨA VIỆT NAM</w:t>
            </w:r>
            <w:r w:rsidRPr="00DD6D35">
              <w:rPr>
                <w:b/>
                <w:bCs/>
                <w:sz w:val="20"/>
                <w:szCs w:val="20"/>
              </w:rPr>
              <w:br/>
              <w:t>Độc lập - Tự do - Hạnh phúc</w:t>
            </w:r>
            <w:r w:rsidRPr="00DD6D35">
              <w:rPr>
                <w:b/>
                <w:bCs/>
                <w:sz w:val="20"/>
                <w:szCs w:val="20"/>
              </w:rPr>
              <w:br/>
              <w:t>----------------</w:t>
            </w:r>
          </w:p>
        </w:tc>
      </w:tr>
      <w:tr w:rsidR="00D55759">
        <w:trPr>
          <w:divId w:val="681904609"/>
        </w:trPr>
        <w:tc>
          <w:tcPr>
            <w:tcW w:w="3348" w:type="dxa"/>
            <w:tcMar>
              <w:top w:w="0" w:type="dxa"/>
              <w:left w:w="108" w:type="dxa"/>
              <w:bottom w:w="0" w:type="dxa"/>
              <w:right w:w="108" w:type="dxa"/>
            </w:tcMar>
            <w:hideMark/>
          </w:tcPr>
          <w:p w:rsidR="00D55759" w:rsidRDefault="00D55759">
            <w:pPr>
              <w:pStyle w:val="NormalWeb"/>
              <w:spacing w:before="120" w:beforeAutospacing="0"/>
            </w:pPr>
            <w:r w:rsidRPr="00DD6D35">
              <w:rPr>
                <w:sz w:val="20"/>
                <w:szCs w:val="20"/>
              </w:rPr>
              <w:t>Số: 4043/TCT-CS</w:t>
            </w:r>
            <w:r w:rsidRPr="00DD6D35">
              <w:rPr>
                <w:sz w:val="20"/>
                <w:szCs w:val="20"/>
              </w:rPr>
              <w:br/>
            </w:r>
            <w:r w:rsidRPr="00DD6D35">
              <w:rPr>
                <w:i/>
                <w:iCs/>
                <w:sz w:val="16"/>
                <w:szCs w:val="16"/>
              </w:rPr>
              <w:t>V/v lệ phí trước bạ khi chuyển đổi doanh nghiệp.</w:t>
            </w:r>
          </w:p>
        </w:tc>
        <w:tc>
          <w:tcPr>
            <w:tcW w:w="5631" w:type="dxa"/>
            <w:tcMar>
              <w:top w:w="0" w:type="dxa"/>
              <w:left w:w="108" w:type="dxa"/>
              <w:bottom w:w="0" w:type="dxa"/>
              <w:right w:w="108" w:type="dxa"/>
            </w:tcMar>
            <w:hideMark/>
          </w:tcPr>
          <w:p w:rsidR="00D55759" w:rsidRDefault="00D55759">
            <w:pPr>
              <w:pStyle w:val="NormalWeb"/>
              <w:spacing w:before="120" w:beforeAutospacing="0"/>
              <w:jc w:val="right"/>
            </w:pPr>
            <w:r w:rsidRPr="00DD6D35">
              <w:rPr>
                <w:i/>
                <w:iCs/>
                <w:sz w:val="20"/>
                <w:szCs w:val="20"/>
              </w:rPr>
              <w:t>Hà Nội, ngày 14 tháng 11 năm 2012</w:t>
            </w:r>
          </w:p>
        </w:tc>
      </w:tr>
    </w:tbl>
    <w:p w:rsidR="00D55759" w:rsidRDefault="00D55759">
      <w:pPr>
        <w:pStyle w:val="NormalWeb"/>
        <w:spacing w:before="120" w:beforeAutospacing="0"/>
        <w:divId w:val="681904609"/>
      </w:pPr>
      <w:r>
        <w:rPr>
          <w:sz w:val="20"/>
          <w:szCs w:val="20"/>
        </w:rPr>
        <w:t> </w:t>
      </w:r>
    </w:p>
    <w:p w:rsidR="00D55759" w:rsidRDefault="00D55759">
      <w:pPr>
        <w:pStyle w:val="NormalWeb"/>
        <w:spacing w:before="120" w:beforeAutospacing="0"/>
        <w:jc w:val="center"/>
        <w:divId w:val="681904609"/>
      </w:pPr>
      <w:r>
        <w:rPr>
          <w:b/>
          <w:bCs/>
          <w:sz w:val="20"/>
          <w:szCs w:val="20"/>
        </w:rPr>
        <w:t xml:space="preserve">Kính gửi: </w:t>
      </w:r>
      <w:r>
        <w:rPr>
          <w:sz w:val="20"/>
          <w:szCs w:val="20"/>
        </w:rPr>
        <w:t>Cục Thuế tỉnh An Giang.</w:t>
      </w:r>
    </w:p>
    <w:p w:rsidR="00D55759" w:rsidRDefault="00D55759">
      <w:pPr>
        <w:pStyle w:val="NormalWeb"/>
        <w:spacing w:before="120" w:beforeAutospacing="0"/>
        <w:divId w:val="681904609"/>
      </w:pPr>
      <w:r>
        <w:rPr>
          <w:sz w:val="20"/>
          <w:szCs w:val="20"/>
        </w:rPr>
        <w:t>Tổng cục Thuế nhận được công văn số 1335/CT-THNVDT ngày 4/10/2012 của Cục Thuế tỉnh An Giang về việc vướng mắc về chính sách lệ phí trước bạ. Về vấn đề này, Tổng cục Thuế có ý kiến như sau:</w:t>
      </w:r>
    </w:p>
    <w:p w:rsidR="00D55759" w:rsidRDefault="00D55759">
      <w:pPr>
        <w:pStyle w:val="NormalWeb"/>
        <w:spacing w:before="120" w:beforeAutospacing="0"/>
        <w:divId w:val="681904609"/>
      </w:pPr>
      <w:r>
        <w:rPr>
          <w:sz w:val="20"/>
          <w:szCs w:val="20"/>
        </w:rPr>
        <w:t>- Tại Khoản 18, Điều 3, Thông tư số 124/2011/TT-BTC ngày 31/8/2011 của Bộ Tài chính hướng dẫn về lệ phí trước bạ quy định các trường hợp không phải nộp lệ phí trước bạ như sau:</w:t>
      </w:r>
    </w:p>
    <w:p w:rsidR="00D55759" w:rsidRDefault="00D55759">
      <w:pPr>
        <w:pStyle w:val="NormalWeb"/>
        <w:spacing w:before="120" w:beforeAutospacing="0"/>
        <w:divId w:val="681904609"/>
      </w:pPr>
      <w:r>
        <w:rPr>
          <w:sz w:val="20"/>
          <w:szCs w:val="20"/>
        </w:rPr>
        <w:t>“18. Tài sản của tổ chức, cá nhân đã nộp lệ phí trước bạ phải đăng ký lại quyền sở hữu sử dụng do việc chia, tách, cổ phần hóa, hợp nhất, sáp nhập, đổi tên tổ chức theo quyết định của cơ quan nhà nước có thẩm quyền.</w:t>
      </w:r>
    </w:p>
    <w:p w:rsidR="00D55759" w:rsidRDefault="00D55759">
      <w:pPr>
        <w:pStyle w:val="NormalWeb"/>
        <w:spacing w:before="120" w:beforeAutospacing="0"/>
        <w:divId w:val="681904609"/>
      </w:pPr>
      <w:r>
        <w:rPr>
          <w:sz w:val="20"/>
          <w:szCs w:val="20"/>
        </w:rPr>
        <w:t>Trường hợp đổi tên đồng thời đổi chủ sở hữu tài sản, tài sản phải đăng ký lại với cơ quan nhà nước có thẩm quyền, phương tiện phải đổi biển kiểm soát thì chủ tài sản phải nộp lệ phí trước bạ”.</w:t>
      </w:r>
    </w:p>
    <w:p w:rsidR="00D55759" w:rsidRDefault="00D55759">
      <w:pPr>
        <w:pStyle w:val="NormalWeb"/>
        <w:spacing w:before="120" w:beforeAutospacing="0"/>
        <w:divId w:val="681904609"/>
      </w:pPr>
      <w:r>
        <w:rPr>
          <w:sz w:val="20"/>
          <w:szCs w:val="20"/>
        </w:rPr>
        <w:t>Căn cứ các quy định nêu trên và hồ sơ kèm theo, trường hợp Công ty cổ phần đầu tư tài chính Nam Việt có 13 cổ đông sáng lập theo giấy chứng nhận đăng ký kinh doanh đăng ký lần thứ 10 ngày 1/3/2011, nay đổi tên thành Công ty cổ phần Đầu tư tài chính Hồng Phát có 10 cổ đông sáng lập theo giấy chứng nhận đăng ký thay đổi lần thứ 11 ngày 29/6/2012. Theo đó, Công ty cổ phần Đầu tư tài chính Hồng Phát thuộc trường hợp đổi tên đồng thời đổi chủ sở hữu nên thuộc đối tượng phải nộp lệ phí trước bạ khi đăng ký lại quyền sở hữu, sử dụng các tài sản với cơ quan nhà nước có thẩm quyền.</w:t>
      </w:r>
    </w:p>
    <w:p w:rsidR="00D55759" w:rsidRDefault="00D55759">
      <w:pPr>
        <w:pStyle w:val="NormalWeb"/>
        <w:spacing w:before="120" w:beforeAutospacing="0"/>
        <w:divId w:val="681904609"/>
      </w:pPr>
      <w:r>
        <w:rPr>
          <w:sz w:val="20"/>
          <w:szCs w:val="20"/>
        </w:rPr>
        <w:t xml:space="preserve">Tổng cục Thuế trả lời để Cục Thuế tỉnh An Giang được biết./. </w:t>
      </w:r>
    </w:p>
    <w:p w:rsidR="00D55759" w:rsidRDefault="00D55759">
      <w:pPr>
        <w:pStyle w:val="NormalWeb"/>
        <w:spacing w:before="120" w:beforeAutospacing="0"/>
        <w:divId w:val="681904609"/>
      </w:pPr>
      <w:r>
        <w:rPr>
          <w:sz w:val="20"/>
          <w:szCs w:val="20"/>
        </w:rPr>
        <w:t> </w:t>
      </w:r>
    </w:p>
    <w:tbl>
      <w:tblPr>
        <w:tblW w:w="0" w:type="auto"/>
        <w:tblCellMar>
          <w:left w:w="0" w:type="dxa"/>
          <w:right w:w="0" w:type="dxa"/>
        </w:tblCellMar>
        <w:tblLook w:val="04A0" w:firstRow="1" w:lastRow="0" w:firstColumn="1" w:lastColumn="0" w:noHBand="0" w:noVBand="1"/>
      </w:tblPr>
      <w:tblGrid>
        <w:gridCol w:w="3984"/>
        <w:gridCol w:w="5187"/>
      </w:tblGrid>
      <w:tr w:rsidR="00D55759">
        <w:trPr>
          <w:divId w:val="681904609"/>
        </w:trPr>
        <w:tc>
          <w:tcPr>
            <w:tcW w:w="3984" w:type="dxa"/>
            <w:tcMar>
              <w:top w:w="0" w:type="dxa"/>
              <w:left w:w="108" w:type="dxa"/>
              <w:bottom w:w="0" w:type="dxa"/>
              <w:right w:w="108" w:type="dxa"/>
            </w:tcMar>
            <w:hideMark/>
          </w:tcPr>
          <w:p w:rsidR="00D55759" w:rsidRDefault="00D55759">
            <w:pPr>
              <w:pStyle w:val="NormalWeb"/>
              <w:spacing w:before="120" w:beforeAutospacing="0"/>
            </w:pPr>
            <w:r w:rsidRPr="00DD6D35">
              <w:rPr>
                <w:b/>
                <w:bCs/>
                <w:i/>
                <w:iCs/>
                <w:sz w:val="16"/>
                <w:szCs w:val="16"/>
              </w:rPr>
              <w:t> </w:t>
            </w:r>
          </w:p>
          <w:p w:rsidR="00D55759" w:rsidRDefault="00D55759">
            <w:pPr>
              <w:pStyle w:val="NormalWeb"/>
              <w:spacing w:before="120" w:beforeAutospacing="0"/>
            </w:pPr>
            <w:r w:rsidRPr="00DD6D35">
              <w:rPr>
                <w:b/>
                <w:bCs/>
                <w:i/>
                <w:iCs/>
                <w:sz w:val="20"/>
                <w:szCs w:val="20"/>
              </w:rPr>
              <w:t>Nơi nhận:</w:t>
            </w:r>
            <w:r w:rsidRPr="00DD6D35">
              <w:rPr>
                <w:b/>
                <w:bCs/>
                <w:i/>
                <w:iCs/>
                <w:sz w:val="20"/>
                <w:szCs w:val="20"/>
              </w:rPr>
              <w:br/>
            </w:r>
            <w:r w:rsidRPr="00DD6D35">
              <w:rPr>
                <w:sz w:val="16"/>
                <w:szCs w:val="16"/>
              </w:rPr>
              <w:t>- Như trên;</w:t>
            </w:r>
            <w:r w:rsidRPr="00DD6D35">
              <w:rPr>
                <w:sz w:val="16"/>
                <w:szCs w:val="16"/>
              </w:rPr>
              <w:br/>
              <w:t>- Vụ Pháp chế (BTC);</w:t>
            </w:r>
            <w:r w:rsidRPr="00DD6D35">
              <w:rPr>
                <w:sz w:val="16"/>
                <w:szCs w:val="16"/>
              </w:rPr>
              <w:br/>
              <w:t>- Vụ Pháp chế (TCT);</w:t>
            </w:r>
            <w:r w:rsidRPr="00DD6D35">
              <w:rPr>
                <w:sz w:val="16"/>
                <w:szCs w:val="16"/>
              </w:rPr>
              <w:br/>
              <w:t>- Lưu: VT, CS (2b).</w:t>
            </w:r>
          </w:p>
        </w:tc>
        <w:tc>
          <w:tcPr>
            <w:tcW w:w="5187" w:type="dxa"/>
            <w:tcMar>
              <w:top w:w="0" w:type="dxa"/>
              <w:left w:w="108" w:type="dxa"/>
              <w:bottom w:w="0" w:type="dxa"/>
              <w:right w:w="108" w:type="dxa"/>
            </w:tcMar>
            <w:hideMark/>
          </w:tcPr>
          <w:p w:rsidR="00D55759" w:rsidRDefault="00D55759">
            <w:pPr>
              <w:pStyle w:val="NormalWeb"/>
              <w:spacing w:before="120" w:beforeAutospacing="0"/>
              <w:jc w:val="center"/>
            </w:pPr>
            <w:r w:rsidRPr="00DD6D35">
              <w:rPr>
                <w:b/>
                <w:bCs/>
                <w:sz w:val="20"/>
                <w:szCs w:val="20"/>
              </w:rPr>
              <w:t>KT. TỔNG CỤC TRƯỞNG</w:t>
            </w:r>
            <w:r w:rsidRPr="00DD6D35">
              <w:rPr>
                <w:b/>
                <w:bCs/>
                <w:sz w:val="20"/>
                <w:szCs w:val="20"/>
              </w:rPr>
              <w:br/>
              <w:t>PHÓ TỔNG CỤC TRƯỞNG</w:t>
            </w:r>
            <w:r w:rsidRPr="00DD6D35">
              <w:rPr>
                <w:b/>
                <w:bCs/>
                <w:sz w:val="20"/>
                <w:szCs w:val="20"/>
              </w:rPr>
              <w:br/>
            </w:r>
            <w:r w:rsidRPr="00DD6D35">
              <w:rPr>
                <w:b/>
                <w:bCs/>
                <w:sz w:val="20"/>
                <w:szCs w:val="20"/>
              </w:rPr>
              <w:br/>
            </w:r>
            <w:r w:rsidRPr="00DD6D35">
              <w:rPr>
                <w:b/>
                <w:bCs/>
                <w:sz w:val="20"/>
                <w:szCs w:val="20"/>
              </w:rPr>
              <w:br/>
            </w:r>
            <w:r w:rsidRPr="00DD6D35">
              <w:rPr>
                <w:b/>
                <w:bCs/>
                <w:sz w:val="20"/>
                <w:szCs w:val="20"/>
              </w:rPr>
              <w:br/>
            </w:r>
            <w:r w:rsidRPr="00DD6D35">
              <w:rPr>
                <w:b/>
                <w:bCs/>
                <w:sz w:val="20"/>
                <w:szCs w:val="20"/>
              </w:rPr>
              <w:br/>
              <w:t>Cao Anh Tuấn</w:t>
            </w:r>
          </w:p>
        </w:tc>
      </w:tr>
    </w:tbl>
    <w:p w:rsidR="00D55759" w:rsidRDefault="00D55759">
      <w:pPr>
        <w:pStyle w:val="NormalWeb"/>
        <w:spacing w:before="120" w:beforeAutospacing="0"/>
        <w:divId w:val="681904609"/>
      </w:pPr>
      <w:r>
        <w:rPr>
          <w:sz w:val="20"/>
          <w:szCs w:val="20"/>
        </w:rPr>
        <w:t> </w:t>
      </w:r>
    </w:p>
    <w:sectPr w:rsidR="00D55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A2"/>
    <w:rsid w:val="006C3BA2"/>
    <w:rsid w:val="00D55759"/>
    <w:rsid w:val="00DD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04609">
      <w:marLeft w:val="0"/>
      <w:marRight w:val="0"/>
      <w:marTop w:val="0"/>
      <w:marBottom w:val="0"/>
      <w:divBdr>
        <w:top w:val="none" w:sz="0" w:space="0" w:color="auto"/>
        <w:left w:val="none" w:sz="0" w:space="0" w:color="auto"/>
        <w:bottom w:val="none" w:sz="0" w:space="0" w:color="auto"/>
        <w:right w:val="none" w:sz="0" w:space="0" w:color="auto"/>
      </w:divBdr>
    </w:div>
  </w:divs>
  <w:encoding w:val="unicod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ich\luat\khac\CV-4043-TCT-14-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CV-4043-TCT-14-1-2012.dot</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vn</cp:lastModifiedBy>
  <cp:revision>1</cp:revision>
  <dcterms:created xsi:type="dcterms:W3CDTF">2012-12-06T06:04:00Z</dcterms:created>
  <dcterms:modified xsi:type="dcterms:W3CDTF">2012-12-06T06:04:00Z</dcterms:modified>
</cp:coreProperties>
</file>