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8824C3">
        <w:trPr>
          <w:divId w:val="1450708623"/>
        </w:trPr>
        <w:tc>
          <w:tcPr>
            <w:tcW w:w="3348" w:type="dxa"/>
            <w:tcMar>
              <w:top w:w="0" w:type="dxa"/>
              <w:left w:w="108" w:type="dxa"/>
              <w:bottom w:w="0" w:type="dxa"/>
              <w:right w:w="108" w:type="dxa"/>
            </w:tcMar>
            <w:hideMark/>
          </w:tcPr>
          <w:p w:rsidR="008824C3" w:rsidRDefault="008824C3">
            <w:pPr>
              <w:pStyle w:val="NormalWeb"/>
              <w:spacing w:before="120" w:beforeAutospacing="0"/>
              <w:jc w:val="center"/>
            </w:pPr>
            <w:r w:rsidRPr="001173FD">
              <w:rPr>
                <w:sz w:val="20"/>
                <w:szCs w:val="20"/>
              </w:rPr>
              <w:t>BỘ TÀI CHÍNH</w:t>
            </w:r>
            <w:r w:rsidRPr="001173FD">
              <w:rPr>
                <w:b/>
                <w:bCs/>
                <w:sz w:val="20"/>
                <w:szCs w:val="20"/>
              </w:rPr>
              <w:br/>
              <w:t>TỔNG CỤC THUẾ</w:t>
            </w:r>
            <w:r w:rsidRPr="001173FD">
              <w:rPr>
                <w:b/>
                <w:bCs/>
                <w:sz w:val="20"/>
                <w:szCs w:val="20"/>
              </w:rPr>
              <w:br/>
              <w:t>--------</w:t>
            </w:r>
          </w:p>
        </w:tc>
        <w:tc>
          <w:tcPr>
            <w:tcW w:w="5631" w:type="dxa"/>
            <w:tcMar>
              <w:top w:w="0" w:type="dxa"/>
              <w:left w:w="108" w:type="dxa"/>
              <w:bottom w:w="0" w:type="dxa"/>
              <w:right w:w="108" w:type="dxa"/>
            </w:tcMar>
            <w:hideMark/>
          </w:tcPr>
          <w:p w:rsidR="008824C3" w:rsidRDefault="008824C3">
            <w:pPr>
              <w:pStyle w:val="NormalWeb"/>
              <w:spacing w:before="120" w:beforeAutospacing="0"/>
              <w:jc w:val="center"/>
            </w:pPr>
            <w:r w:rsidRPr="001173FD">
              <w:rPr>
                <w:b/>
                <w:bCs/>
                <w:sz w:val="20"/>
                <w:szCs w:val="20"/>
              </w:rPr>
              <w:t>CỘNG HÒA XÃ HỘI CHỦ NGHĨA VIỆT NAM</w:t>
            </w:r>
            <w:r w:rsidRPr="001173FD">
              <w:rPr>
                <w:b/>
                <w:bCs/>
                <w:sz w:val="20"/>
                <w:szCs w:val="20"/>
              </w:rPr>
              <w:br/>
              <w:t>Độc lập - Tự do - Hạnh phúc</w:t>
            </w:r>
            <w:r w:rsidRPr="001173FD">
              <w:rPr>
                <w:b/>
                <w:bCs/>
                <w:sz w:val="20"/>
                <w:szCs w:val="20"/>
              </w:rPr>
              <w:br/>
              <w:t>----------------</w:t>
            </w:r>
          </w:p>
        </w:tc>
      </w:tr>
      <w:tr w:rsidR="008824C3">
        <w:trPr>
          <w:divId w:val="1450708623"/>
        </w:trPr>
        <w:tc>
          <w:tcPr>
            <w:tcW w:w="3348" w:type="dxa"/>
            <w:tcMar>
              <w:top w:w="0" w:type="dxa"/>
              <w:left w:w="108" w:type="dxa"/>
              <w:bottom w:w="0" w:type="dxa"/>
              <w:right w:w="108" w:type="dxa"/>
            </w:tcMar>
            <w:hideMark/>
          </w:tcPr>
          <w:p w:rsidR="008824C3" w:rsidRDefault="008824C3">
            <w:pPr>
              <w:pStyle w:val="NormalWeb"/>
              <w:spacing w:before="120" w:beforeAutospacing="0"/>
            </w:pPr>
            <w:r w:rsidRPr="001173FD">
              <w:rPr>
                <w:sz w:val="20"/>
                <w:szCs w:val="20"/>
              </w:rPr>
              <w:t>Số: 4017/TCT-TNCN</w:t>
            </w:r>
            <w:r w:rsidRPr="001173FD">
              <w:rPr>
                <w:sz w:val="20"/>
                <w:szCs w:val="20"/>
              </w:rPr>
              <w:br/>
            </w:r>
            <w:r w:rsidRPr="001173FD">
              <w:rPr>
                <w:i/>
                <w:iCs/>
                <w:sz w:val="16"/>
                <w:szCs w:val="16"/>
              </w:rPr>
              <w:t>V/v thuế TNCN với khoản bồi dưỡng giám định tư pháp.</w:t>
            </w:r>
          </w:p>
        </w:tc>
        <w:tc>
          <w:tcPr>
            <w:tcW w:w="5631" w:type="dxa"/>
            <w:tcMar>
              <w:top w:w="0" w:type="dxa"/>
              <w:left w:w="108" w:type="dxa"/>
              <w:bottom w:w="0" w:type="dxa"/>
              <w:right w:w="108" w:type="dxa"/>
            </w:tcMar>
            <w:hideMark/>
          </w:tcPr>
          <w:p w:rsidR="008824C3" w:rsidRDefault="008824C3">
            <w:pPr>
              <w:pStyle w:val="NormalWeb"/>
              <w:spacing w:before="120" w:beforeAutospacing="0"/>
              <w:jc w:val="right"/>
            </w:pPr>
            <w:r w:rsidRPr="001173FD">
              <w:rPr>
                <w:i/>
                <w:iCs/>
                <w:sz w:val="20"/>
                <w:szCs w:val="20"/>
              </w:rPr>
              <w:t>Hà Nội, ngày 12 tháng 11 năm 2012</w:t>
            </w:r>
          </w:p>
        </w:tc>
      </w:tr>
    </w:tbl>
    <w:p w:rsidR="008824C3" w:rsidRDefault="008824C3">
      <w:pPr>
        <w:pStyle w:val="NormalWeb"/>
        <w:spacing w:before="120" w:beforeAutospacing="0"/>
        <w:divId w:val="1450708623"/>
      </w:pPr>
      <w:r>
        <w:rPr>
          <w:sz w:val="20"/>
          <w:szCs w:val="20"/>
        </w:rPr>
        <w:t> </w:t>
      </w:r>
    </w:p>
    <w:tbl>
      <w:tblPr>
        <w:tblW w:w="0" w:type="auto"/>
        <w:tblCellMar>
          <w:left w:w="0" w:type="dxa"/>
          <w:right w:w="0" w:type="dxa"/>
        </w:tblCellMar>
        <w:tblLook w:val="04A0"/>
      </w:tblPr>
      <w:tblGrid>
        <w:gridCol w:w="2808"/>
        <w:gridCol w:w="6120"/>
      </w:tblGrid>
      <w:tr w:rsidR="008824C3">
        <w:trPr>
          <w:divId w:val="1450708623"/>
        </w:trPr>
        <w:tc>
          <w:tcPr>
            <w:tcW w:w="2808" w:type="dxa"/>
            <w:tcMar>
              <w:top w:w="0" w:type="dxa"/>
              <w:left w:w="108" w:type="dxa"/>
              <w:bottom w:w="0" w:type="dxa"/>
              <w:right w:w="108" w:type="dxa"/>
            </w:tcMar>
            <w:hideMark/>
          </w:tcPr>
          <w:p w:rsidR="008824C3" w:rsidRDefault="008824C3">
            <w:pPr>
              <w:pStyle w:val="NormalWeb"/>
              <w:spacing w:before="120" w:beforeAutospacing="0"/>
              <w:jc w:val="right"/>
            </w:pPr>
            <w:r w:rsidRPr="001173FD">
              <w:rPr>
                <w:b/>
                <w:bCs/>
                <w:sz w:val="20"/>
                <w:szCs w:val="20"/>
              </w:rPr>
              <w:t>Kính gửi:</w:t>
            </w:r>
          </w:p>
        </w:tc>
        <w:tc>
          <w:tcPr>
            <w:tcW w:w="6120" w:type="dxa"/>
            <w:tcMar>
              <w:top w:w="0" w:type="dxa"/>
              <w:left w:w="108" w:type="dxa"/>
              <w:bottom w:w="0" w:type="dxa"/>
              <w:right w:w="108" w:type="dxa"/>
            </w:tcMar>
            <w:hideMark/>
          </w:tcPr>
          <w:p w:rsidR="008824C3" w:rsidRDefault="008824C3">
            <w:pPr>
              <w:pStyle w:val="NormalWeb"/>
              <w:spacing w:before="120" w:beforeAutospacing="0"/>
            </w:pPr>
            <w:r w:rsidRPr="001173FD">
              <w:rPr>
                <w:sz w:val="20"/>
                <w:szCs w:val="20"/>
              </w:rPr>
              <w:t>- Viện Pháp y quốc gia;</w:t>
            </w:r>
            <w:r w:rsidRPr="001173FD">
              <w:rPr>
                <w:sz w:val="20"/>
                <w:szCs w:val="20"/>
              </w:rPr>
              <w:br/>
              <w:t>- Trung tâm Pháp y thuộc các Sở Y tế.</w:t>
            </w:r>
          </w:p>
        </w:tc>
      </w:tr>
    </w:tbl>
    <w:p w:rsidR="008824C3" w:rsidRDefault="008824C3">
      <w:pPr>
        <w:pStyle w:val="NormalWeb"/>
        <w:spacing w:before="120" w:beforeAutospacing="0"/>
        <w:divId w:val="1450708623"/>
      </w:pPr>
      <w:r>
        <w:rPr>
          <w:sz w:val="20"/>
          <w:szCs w:val="20"/>
        </w:rPr>
        <w:t> </w:t>
      </w:r>
    </w:p>
    <w:p w:rsidR="008824C3" w:rsidRDefault="008824C3">
      <w:pPr>
        <w:pStyle w:val="NormalWeb"/>
        <w:spacing w:before="120" w:beforeAutospacing="0"/>
        <w:divId w:val="1450708623"/>
      </w:pPr>
      <w:r>
        <w:rPr>
          <w:sz w:val="20"/>
          <w:szCs w:val="20"/>
        </w:rPr>
        <w:t>Tổng cục Thuế nhận được một số kiến nghị về thực hiện thuế thu nhập cá nhân với khoản bồi dưỡng giám định tư pháp trong lĩnh vực pháp y. Về vấn đề này, Tổng cục Thuế có ý kiến như sau:</w:t>
      </w:r>
    </w:p>
    <w:p w:rsidR="008824C3" w:rsidRDefault="008824C3">
      <w:pPr>
        <w:pStyle w:val="NormalWeb"/>
        <w:spacing w:before="120" w:beforeAutospacing="0"/>
        <w:divId w:val="1450708623"/>
      </w:pPr>
      <w:r>
        <w:rPr>
          <w:sz w:val="20"/>
          <w:szCs w:val="20"/>
        </w:rPr>
        <w:t>- Tại tiết a, điểm 2.2.3, khoản 2, mục II, phần A Thông tư số 84/2008/TT-BTC ngày 30/9/2008 của Bộ Tài chính quy định các khoản phụ cấp, trợ cấp được trừ khi xác định thu nhập chịu thuế từ tiền lương, tiền công:</w:t>
      </w:r>
    </w:p>
    <w:p w:rsidR="008824C3" w:rsidRDefault="008824C3">
      <w:pPr>
        <w:pStyle w:val="NormalWeb"/>
        <w:spacing w:before="120" w:beforeAutospacing="0"/>
        <w:divId w:val="1450708623"/>
      </w:pPr>
      <w:r>
        <w:rPr>
          <w:sz w:val="20"/>
          <w:szCs w:val="20"/>
        </w:rPr>
        <w:t>“a) Phụ cấp độc hại, nguy hiểm đối với những ngành, nghề hoặc công việc ở nơi làm việc có yếu tố độc hại, nguy hiểm.”</w:t>
      </w:r>
    </w:p>
    <w:p w:rsidR="008824C3" w:rsidRDefault="008824C3">
      <w:pPr>
        <w:pStyle w:val="NormalWeb"/>
        <w:spacing w:before="120" w:beforeAutospacing="0"/>
        <w:divId w:val="1450708623"/>
      </w:pPr>
      <w:r>
        <w:rPr>
          <w:sz w:val="20"/>
          <w:szCs w:val="20"/>
        </w:rPr>
        <w:t>- Tại khoản 3, Điều 1 Thông tư số 62/2009/TT-BTC ngày 27/3/2009 của Bộ Tài chính quy định:</w:t>
      </w:r>
    </w:p>
    <w:p w:rsidR="008824C3" w:rsidRDefault="008824C3">
      <w:pPr>
        <w:pStyle w:val="NormalWeb"/>
        <w:spacing w:before="120" w:beforeAutospacing="0"/>
        <w:divId w:val="1450708623"/>
      </w:pPr>
      <w:r>
        <w:rPr>
          <w:sz w:val="20"/>
          <w:szCs w:val="20"/>
        </w:rPr>
        <w:t>“Đối với những lĩnh vực công tác, ngành nghề mà Nhà nước có quy định chế độ phụ cấp, trợ cấp,... thì các khoản phụ cấp, trợ cấp,... này không tính vào thu nhập”</w:t>
      </w:r>
    </w:p>
    <w:p w:rsidR="008824C3" w:rsidRDefault="008824C3">
      <w:pPr>
        <w:pStyle w:val="NormalWeb"/>
        <w:spacing w:before="120" w:beforeAutospacing="0"/>
        <w:divId w:val="1450708623"/>
      </w:pPr>
      <w:r>
        <w:rPr>
          <w:sz w:val="20"/>
          <w:szCs w:val="20"/>
        </w:rPr>
        <w:t>Căn cứ vào các quy định trên, giám định viên tư pháp, người giám định tư pháp, người giúp việc cho người giám định tư pháp theo vụ việc trong lĩnh vực pháp y được hưởng chế độ giám định tư pháp quy định tại Quyết định số 74/2009/QĐ-TTg ngày 7/5/2009 của Thủ Tướng Chính Phủ và Thông tư số 09/2010/TTLT-BTP-BTC-BNV ngày 04/05/2010 hướng dẫn thực hiện Quyết định số 74/2009/QĐ-TTg thì khoản bồi dưỡng này được trừ khi xác định thu nhập chịu thuế TNCN. Trường hợp cá nhân nhận tiền bồi dưỡng vượt mức quy định về chế độ bồi dưỡng giám định tư pháp thì số tiền vượt mức phải tính vào thu nhập chịu thuế TNCN.</w:t>
      </w:r>
    </w:p>
    <w:p w:rsidR="008824C3" w:rsidRDefault="008824C3">
      <w:pPr>
        <w:pStyle w:val="NormalWeb"/>
        <w:spacing w:before="120" w:beforeAutospacing="0"/>
        <w:divId w:val="1450708623"/>
      </w:pPr>
      <w:r>
        <w:rPr>
          <w:sz w:val="20"/>
          <w:szCs w:val="20"/>
        </w:rPr>
        <w:t>Tổng cục Thuế thông báo để Viện Pháp y quốc gia, Trung tâm Pháp y thuộc các Sở Y tế các địa phương biết và thực hiện. Công văn này thay thế Điều 4 Công văn số 12960/BTC-CST ngày 25/9/2012 của Bộ Tài chính về hướng dẫn phí giám định tư pháp trong lĩnh vực pháp y./.</w:t>
      </w:r>
    </w:p>
    <w:p w:rsidR="008824C3" w:rsidRDefault="008824C3">
      <w:pPr>
        <w:pStyle w:val="NormalWeb"/>
        <w:spacing w:before="120" w:beforeAutospacing="0"/>
        <w:divId w:val="1450708623"/>
      </w:pPr>
      <w:r>
        <w:rPr>
          <w:sz w:val="20"/>
          <w:szCs w:val="20"/>
        </w:rPr>
        <w:t> </w:t>
      </w:r>
    </w:p>
    <w:tbl>
      <w:tblPr>
        <w:tblW w:w="0" w:type="auto"/>
        <w:tblCellMar>
          <w:left w:w="0" w:type="dxa"/>
          <w:right w:w="0" w:type="dxa"/>
        </w:tblCellMar>
        <w:tblLook w:val="04A0"/>
      </w:tblPr>
      <w:tblGrid>
        <w:gridCol w:w="4480"/>
        <w:gridCol w:w="4481"/>
      </w:tblGrid>
      <w:tr w:rsidR="008824C3">
        <w:trPr>
          <w:divId w:val="1450708623"/>
        </w:trPr>
        <w:tc>
          <w:tcPr>
            <w:tcW w:w="4480" w:type="dxa"/>
            <w:tcMar>
              <w:top w:w="0" w:type="dxa"/>
              <w:left w:w="108" w:type="dxa"/>
              <w:bottom w:w="0" w:type="dxa"/>
              <w:right w:w="108" w:type="dxa"/>
            </w:tcMar>
            <w:hideMark/>
          </w:tcPr>
          <w:p w:rsidR="008824C3" w:rsidRDefault="008824C3">
            <w:pPr>
              <w:pStyle w:val="NormalWeb"/>
              <w:spacing w:before="120" w:beforeAutospacing="0"/>
            </w:pPr>
            <w:r w:rsidRPr="001173FD">
              <w:rPr>
                <w:b/>
                <w:bCs/>
                <w:i/>
                <w:iCs/>
                <w:sz w:val="20"/>
                <w:szCs w:val="20"/>
              </w:rPr>
              <w:t> </w:t>
            </w:r>
          </w:p>
          <w:p w:rsidR="008824C3" w:rsidRDefault="008824C3">
            <w:pPr>
              <w:pStyle w:val="NormalWeb"/>
              <w:spacing w:before="120" w:beforeAutospacing="0"/>
            </w:pPr>
            <w:r w:rsidRPr="001173FD">
              <w:rPr>
                <w:b/>
                <w:bCs/>
                <w:i/>
                <w:iCs/>
                <w:sz w:val="20"/>
                <w:szCs w:val="20"/>
              </w:rPr>
              <w:t>Nơi nhận:</w:t>
            </w:r>
            <w:r w:rsidRPr="001173FD">
              <w:rPr>
                <w:b/>
                <w:bCs/>
                <w:i/>
                <w:iCs/>
                <w:sz w:val="20"/>
                <w:szCs w:val="20"/>
              </w:rPr>
              <w:br/>
            </w:r>
            <w:r w:rsidRPr="001173FD">
              <w:rPr>
                <w:sz w:val="16"/>
                <w:szCs w:val="16"/>
              </w:rPr>
              <w:t>- Như trên;</w:t>
            </w:r>
            <w:r w:rsidRPr="001173FD">
              <w:rPr>
                <w:sz w:val="16"/>
                <w:szCs w:val="16"/>
              </w:rPr>
              <w:br/>
              <w:t>- Lãnh đạo Bộ (để báo cáo);</w:t>
            </w:r>
            <w:r w:rsidRPr="001173FD">
              <w:rPr>
                <w:sz w:val="16"/>
                <w:szCs w:val="16"/>
              </w:rPr>
              <w:br/>
              <w:t>- Bộ Y tế;</w:t>
            </w:r>
            <w:r w:rsidRPr="001173FD">
              <w:rPr>
                <w:sz w:val="16"/>
                <w:szCs w:val="16"/>
              </w:rPr>
              <w:br/>
              <w:t>- Bộ Công an;</w:t>
            </w:r>
            <w:r w:rsidRPr="001173FD">
              <w:rPr>
                <w:sz w:val="16"/>
                <w:szCs w:val="16"/>
              </w:rPr>
              <w:br/>
              <w:t>- Bộ Tư pháp;</w:t>
            </w:r>
            <w:r w:rsidRPr="001173FD">
              <w:rPr>
                <w:sz w:val="16"/>
                <w:szCs w:val="16"/>
              </w:rPr>
              <w:br/>
              <w:t>- Cục Thuế các tỉnh, TP;</w:t>
            </w:r>
            <w:r w:rsidRPr="001173FD">
              <w:rPr>
                <w:sz w:val="16"/>
                <w:szCs w:val="16"/>
              </w:rPr>
              <w:br/>
              <w:t>- Vụ CST, PC, HCSN, NSNN, I (BTC);</w:t>
            </w:r>
            <w:r w:rsidRPr="001173FD">
              <w:rPr>
                <w:sz w:val="16"/>
                <w:szCs w:val="16"/>
              </w:rPr>
              <w:br/>
              <w:t>- Vụ PC (TCT);</w:t>
            </w:r>
            <w:r w:rsidRPr="001173FD">
              <w:rPr>
                <w:sz w:val="16"/>
                <w:szCs w:val="16"/>
              </w:rPr>
              <w:br/>
              <w:t>- Lưu: VT, TNCN.</w:t>
            </w:r>
          </w:p>
        </w:tc>
        <w:tc>
          <w:tcPr>
            <w:tcW w:w="4481" w:type="dxa"/>
            <w:tcMar>
              <w:top w:w="0" w:type="dxa"/>
              <w:left w:w="108" w:type="dxa"/>
              <w:bottom w:w="0" w:type="dxa"/>
              <w:right w:w="108" w:type="dxa"/>
            </w:tcMar>
            <w:hideMark/>
          </w:tcPr>
          <w:p w:rsidR="008824C3" w:rsidRDefault="008824C3">
            <w:pPr>
              <w:pStyle w:val="NormalWeb"/>
              <w:spacing w:before="120" w:beforeAutospacing="0"/>
              <w:jc w:val="center"/>
            </w:pPr>
            <w:r w:rsidRPr="001173FD">
              <w:rPr>
                <w:b/>
                <w:bCs/>
                <w:sz w:val="20"/>
                <w:szCs w:val="20"/>
              </w:rPr>
              <w:t>KT. TỔNG CỤC TRƯỞNG</w:t>
            </w:r>
            <w:r w:rsidRPr="001173FD">
              <w:rPr>
                <w:b/>
                <w:bCs/>
                <w:sz w:val="20"/>
                <w:szCs w:val="20"/>
              </w:rPr>
              <w:br/>
              <w:t>PHÓ TỔNG CỤC TRƯỞNG</w:t>
            </w:r>
            <w:r w:rsidRPr="001173FD">
              <w:rPr>
                <w:b/>
                <w:bCs/>
                <w:sz w:val="20"/>
                <w:szCs w:val="20"/>
              </w:rPr>
              <w:br/>
            </w:r>
            <w:r w:rsidRPr="001173FD">
              <w:rPr>
                <w:b/>
                <w:bCs/>
                <w:sz w:val="20"/>
                <w:szCs w:val="20"/>
              </w:rPr>
              <w:br/>
            </w:r>
            <w:r w:rsidRPr="001173FD">
              <w:rPr>
                <w:b/>
                <w:bCs/>
                <w:sz w:val="20"/>
                <w:szCs w:val="20"/>
              </w:rPr>
              <w:br/>
            </w:r>
            <w:r w:rsidRPr="001173FD">
              <w:rPr>
                <w:b/>
                <w:bCs/>
                <w:sz w:val="20"/>
                <w:szCs w:val="20"/>
              </w:rPr>
              <w:br/>
            </w:r>
            <w:r w:rsidRPr="001173FD">
              <w:rPr>
                <w:b/>
                <w:bCs/>
                <w:sz w:val="20"/>
                <w:szCs w:val="20"/>
              </w:rPr>
              <w:br/>
              <w:t>Cao Anh Tuấn</w:t>
            </w:r>
          </w:p>
        </w:tc>
      </w:tr>
    </w:tbl>
    <w:p w:rsidR="008824C3" w:rsidRDefault="008824C3">
      <w:pPr>
        <w:pStyle w:val="NormalWeb"/>
        <w:spacing w:before="120" w:beforeAutospacing="0"/>
        <w:divId w:val="1450708623"/>
      </w:pPr>
      <w:r>
        <w:rPr>
          <w:sz w:val="20"/>
          <w:szCs w:val="20"/>
        </w:rPr>
        <w:t> </w:t>
      </w:r>
    </w:p>
    <w:sectPr w:rsidR="00882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934C3F"/>
    <w:rsid w:val="001173FD"/>
    <w:rsid w:val="008824C3"/>
    <w:rsid w:val="00934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50708623">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4017-TCT-12-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CV-4017-TCT-12-11-2012</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2012-12-03T02:15:00Z</dcterms:created>
  <dcterms:modified xsi:type="dcterms:W3CDTF">2012-12-03T02:15:00Z</dcterms:modified>
</cp:coreProperties>
</file>