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A3" w:rsidRDefault="00B313A3" w:rsidP="00DA74E9">
      <w:pPr>
        <w:ind w:right="-540"/>
      </w:pPr>
    </w:p>
    <w:p w:rsidR="00297359" w:rsidRPr="009F115F" w:rsidRDefault="00297359" w:rsidP="00297359">
      <w:pPr>
        <w:ind w:right="-540" w:firstLine="720"/>
      </w:pPr>
      <w:r w:rsidRPr="009F115F">
        <w:t>TỔNG CỤC THUẾ</w:t>
      </w:r>
      <w:r w:rsidRPr="009F115F">
        <w:rPr>
          <w:sz w:val="26"/>
        </w:rPr>
        <w:t xml:space="preserve"> </w:t>
      </w:r>
      <w:r w:rsidRPr="009F115F">
        <w:rPr>
          <w:sz w:val="26"/>
        </w:rPr>
        <w:tab/>
      </w:r>
      <w:r w:rsidRPr="009F115F">
        <w:rPr>
          <w:sz w:val="26"/>
        </w:rPr>
        <w:tab/>
        <w:t xml:space="preserve">      </w:t>
      </w:r>
      <w:r w:rsidR="006F4615" w:rsidRPr="009F115F">
        <w:rPr>
          <w:sz w:val="26"/>
        </w:rPr>
        <w:t xml:space="preserve">    </w:t>
      </w:r>
      <w:r w:rsidRPr="009F115F">
        <w:rPr>
          <w:b/>
        </w:rPr>
        <w:t xml:space="preserve">CỘNG HOÀ XÃ HỘI CHỦ NGHĨA VIỆT </w:t>
      </w:r>
      <w:smartTag w:uri="urn:schemas-microsoft-com:office:smarttags" w:element="country-region">
        <w:smartTag w:uri="urn:schemas-microsoft-com:office:smarttags" w:element="place">
          <w:r w:rsidRPr="009F115F">
            <w:rPr>
              <w:b/>
            </w:rPr>
            <w:t>NAM</w:t>
          </w:r>
        </w:smartTag>
      </w:smartTag>
      <w:r w:rsidRPr="009F115F">
        <w:t xml:space="preserve"> </w:t>
      </w:r>
    </w:p>
    <w:p w:rsidR="00297359" w:rsidRPr="009F115F" w:rsidRDefault="005B2101" w:rsidP="00E86510">
      <w:pPr>
        <w:spacing w:after="240"/>
        <w:rPr>
          <w:b/>
          <w:sz w:val="26"/>
        </w:rPr>
      </w:pPr>
      <w:r w:rsidRPr="005B2101">
        <w:rPr>
          <w:b/>
          <w:noProof/>
        </w:rPr>
        <w:pict>
          <v:shapetype id="_x0000_t32" coordsize="21600,21600" o:spt="32" o:oned="t" path="m,l21600,21600e" filled="f">
            <v:path arrowok="t" fillok="f" o:connecttype="none"/>
            <o:lock v:ext="edit" shapetype="t"/>
          </v:shapetype>
          <v:shape id="_x0000_s2051" type="#_x0000_t32" style="position:absolute;margin-left:267pt;margin-top:21.5pt;width:165.75pt;height:0;z-index:251659264" o:connectortype="straight"/>
        </w:pict>
      </w:r>
      <w:r w:rsidRPr="005B2101">
        <w:rPr>
          <w:b/>
          <w:noProof/>
        </w:rPr>
        <w:pict>
          <v:shape id="_x0000_s2050" type="#_x0000_t32" style="position:absolute;margin-left:33pt;margin-top:21.5pt;width:93pt;height:0;z-index:251658240" o:connectortype="straight"/>
        </w:pict>
      </w:r>
      <w:r w:rsidR="00297359" w:rsidRPr="009F115F">
        <w:rPr>
          <w:b/>
        </w:rPr>
        <w:t>CỤC THUẾ TP HỒ CHÍ MINH</w:t>
      </w:r>
      <w:r w:rsidR="00297359" w:rsidRPr="009F115F">
        <w:rPr>
          <w:sz w:val="26"/>
        </w:rPr>
        <w:t xml:space="preserve"> </w:t>
      </w:r>
      <w:r w:rsidR="00297359" w:rsidRPr="009F115F">
        <w:rPr>
          <w:sz w:val="26"/>
        </w:rPr>
        <w:tab/>
      </w:r>
      <w:r w:rsidR="00297359" w:rsidRPr="009F115F">
        <w:rPr>
          <w:sz w:val="26"/>
        </w:rPr>
        <w:tab/>
        <w:t xml:space="preserve">     </w:t>
      </w:r>
      <w:r w:rsidR="00297359" w:rsidRPr="009F115F">
        <w:rPr>
          <w:sz w:val="26"/>
        </w:rPr>
        <w:tab/>
      </w:r>
      <w:r w:rsidR="006F4615" w:rsidRPr="009F115F">
        <w:rPr>
          <w:sz w:val="26"/>
        </w:rPr>
        <w:t xml:space="preserve">    </w:t>
      </w:r>
      <w:r w:rsidR="00297359" w:rsidRPr="009F115F">
        <w:rPr>
          <w:b/>
          <w:sz w:val="28"/>
        </w:rPr>
        <w:t xml:space="preserve">Độc lập - Tự </w:t>
      </w:r>
      <w:r w:rsidR="00C14E6F" w:rsidRPr="009F115F">
        <w:rPr>
          <w:b/>
          <w:sz w:val="28"/>
        </w:rPr>
        <w:t>do</w:t>
      </w:r>
      <w:r w:rsidR="00297359" w:rsidRPr="009F115F">
        <w:rPr>
          <w:b/>
          <w:sz w:val="28"/>
        </w:rPr>
        <w:t>- Hạnh phúc</w:t>
      </w:r>
    </w:p>
    <w:p w:rsidR="00297359" w:rsidRPr="009F115F" w:rsidRDefault="00297359" w:rsidP="00B313A3">
      <w:pPr>
        <w:ind w:firstLine="539"/>
        <w:rPr>
          <w:i/>
          <w:sz w:val="26"/>
        </w:rPr>
      </w:pPr>
      <w:r w:rsidRPr="009F115F">
        <w:rPr>
          <w:sz w:val="26"/>
        </w:rPr>
        <w:t xml:space="preserve">Số:  </w:t>
      </w:r>
      <w:r w:rsidR="00D64371">
        <w:rPr>
          <w:sz w:val="26"/>
        </w:rPr>
        <w:t>1904</w:t>
      </w:r>
      <w:r w:rsidRPr="009F115F">
        <w:rPr>
          <w:sz w:val="26"/>
        </w:rPr>
        <w:t>/ CT-TTHT</w:t>
      </w:r>
      <w:r w:rsidRPr="009F115F">
        <w:rPr>
          <w:sz w:val="26"/>
        </w:rPr>
        <w:tab/>
      </w:r>
      <w:r w:rsidRPr="009F115F">
        <w:rPr>
          <w:sz w:val="26"/>
        </w:rPr>
        <w:tab/>
      </w:r>
      <w:r w:rsidRPr="009F115F">
        <w:rPr>
          <w:i/>
          <w:sz w:val="28"/>
        </w:rPr>
        <w:t>Tp Hồ Chí Minh, ngày</w:t>
      </w:r>
      <w:r w:rsidR="00D64371">
        <w:rPr>
          <w:i/>
          <w:sz w:val="28"/>
        </w:rPr>
        <w:t>26</w:t>
      </w:r>
      <w:r w:rsidRPr="009F115F">
        <w:rPr>
          <w:i/>
          <w:sz w:val="28"/>
        </w:rPr>
        <w:t xml:space="preserve">tháng </w:t>
      </w:r>
      <w:r w:rsidR="00D64371">
        <w:rPr>
          <w:i/>
          <w:sz w:val="28"/>
        </w:rPr>
        <w:t>02</w:t>
      </w:r>
      <w:r w:rsidRPr="009F115F">
        <w:rPr>
          <w:i/>
          <w:sz w:val="28"/>
        </w:rPr>
        <w:t>năm 20</w:t>
      </w:r>
      <w:r w:rsidR="00252893" w:rsidRPr="009F115F">
        <w:rPr>
          <w:i/>
          <w:sz w:val="28"/>
        </w:rPr>
        <w:t>1</w:t>
      </w:r>
      <w:r w:rsidR="00F856A3">
        <w:rPr>
          <w:i/>
          <w:sz w:val="28"/>
        </w:rPr>
        <w:t>5</w:t>
      </w:r>
    </w:p>
    <w:p w:rsidR="00B313A3" w:rsidRDefault="00297359" w:rsidP="00B313A3">
      <w:pPr>
        <w:spacing w:after="120"/>
        <w:ind w:firstLine="539"/>
      </w:pPr>
      <w:r w:rsidRPr="009F115F">
        <w:t>V/</w:t>
      </w:r>
      <w:r w:rsidR="00D10FC4" w:rsidRPr="009F115F">
        <w:t>v</w:t>
      </w:r>
      <w:r w:rsidR="000B772B">
        <w:t xml:space="preserve"> : </w:t>
      </w:r>
      <w:r w:rsidR="00F60EF8">
        <w:t>k</w:t>
      </w:r>
      <w:r w:rsidR="00F60EF8" w:rsidRPr="00F60EF8">
        <w:t>ê</w:t>
      </w:r>
      <w:r w:rsidR="00F60EF8">
        <w:t xml:space="preserve"> khai thu</w:t>
      </w:r>
      <w:r w:rsidR="00F60EF8" w:rsidRPr="00F60EF8">
        <w:t>ế</w:t>
      </w:r>
      <w:r w:rsidR="00F60EF8">
        <w:t xml:space="preserve"> </w:t>
      </w:r>
      <w:r w:rsidR="0049550D">
        <w:t>giá trị gia tăng</w:t>
      </w:r>
    </w:p>
    <w:p w:rsidR="0049550D" w:rsidRPr="00B313A3" w:rsidRDefault="0049550D" w:rsidP="00B313A3">
      <w:pPr>
        <w:spacing w:after="120"/>
        <w:ind w:firstLine="539"/>
      </w:pPr>
    </w:p>
    <w:p w:rsidR="00F87E1C" w:rsidRDefault="00297359" w:rsidP="00B313A3">
      <w:pPr>
        <w:ind w:left="743" w:firstLine="6"/>
        <w:jc w:val="center"/>
        <w:rPr>
          <w:sz w:val="28"/>
        </w:rPr>
      </w:pPr>
      <w:r w:rsidRPr="009F115F">
        <w:rPr>
          <w:sz w:val="28"/>
        </w:rPr>
        <w:t>Kính gửi:</w:t>
      </w:r>
      <w:r w:rsidR="000B772B">
        <w:rPr>
          <w:sz w:val="28"/>
        </w:rPr>
        <w:t xml:space="preserve"> </w:t>
      </w:r>
      <w:r w:rsidR="00F60EF8">
        <w:rPr>
          <w:sz w:val="28"/>
        </w:rPr>
        <w:t>C</w:t>
      </w:r>
      <w:r w:rsidR="00F60EF8" w:rsidRPr="00F60EF8">
        <w:rPr>
          <w:sz w:val="28"/>
        </w:rPr>
        <w:t>ô</w:t>
      </w:r>
      <w:r w:rsidR="00F60EF8">
        <w:rPr>
          <w:sz w:val="28"/>
        </w:rPr>
        <w:t>ng ty c</w:t>
      </w:r>
      <w:r w:rsidR="00F60EF8" w:rsidRPr="00F60EF8">
        <w:rPr>
          <w:sz w:val="28"/>
        </w:rPr>
        <w:t>ổ</w:t>
      </w:r>
      <w:r w:rsidR="00F60EF8">
        <w:rPr>
          <w:sz w:val="28"/>
        </w:rPr>
        <w:t xml:space="preserve"> ph</w:t>
      </w:r>
      <w:r w:rsidR="00F60EF8" w:rsidRPr="00F60EF8">
        <w:rPr>
          <w:sz w:val="28"/>
        </w:rPr>
        <w:t>ầ</w:t>
      </w:r>
      <w:r w:rsidR="00F60EF8">
        <w:rPr>
          <w:sz w:val="28"/>
        </w:rPr>
        <w:t>n ch</w:t>
      </w:r>
      <w:r w:rsidR="00F60EF8" w:rsidRPr="00F60EF8">
        <w:rPr>
          <w:sz w:val="28"/>
        </w:rPr>
        <w:t>ứng</w:t>
      </w:r>
      <w:r w:rsidR="00F60EF8">
        <w:rPr>
          <w:sz w:val="28"/>
        </w:rPr>
        <w:t xml:space="preserve"> kho</w:t>
      </w:r>
      <w:r w:rsidR="00F60EF8" w:rsidRPr="00F60EF8">
        <w:rPr>
          <w:sz w:val="28"/>
        </w:rPr>
        <w:t>án</w:t>
      </w:r>
      <w:r w:rsidR="00F60EF8">
        <w:rPr>
          <w:sz w:val="28"/>
        </w:rPr>
        <w:t xml:space="preserve"> ng</w:t>
      </w:r>
      <w:r w:rsidR="00F60EF8" w:rsidRPr="00F60EF8">
        <w:rPr>
          <w:sz w:val="28"/>
        </w:rPr>
        <w:t>â</w:t>
      </w:r>
      <w:r w:rsidR="00F60EF8">
        <w:rPr>
          <w:sz w:val="28"/>
        </w:rPr>
        <w:t>n h</w:t>
      </w:r>
      <w:r w:rsidR="00F60EF8" w:rsidRPr="00F60EF8">
        <w:rPr>
          <w:sz w:val="28"/>
        </w:rPr>
        <w:t>àng</w:t>
      </w:r>
      <w:r w:rsidR="00F60EF8">
        <w:rPr>
          <w:sz w:val="28"/>
        </w:rPr>
        <w:t xml:space="preserve"> S</w:t>
      </w:r>
      <w:r w:rsidR="00F60EF8" w:rsidRPr="00F60EF8">
        <w:rPr>
          <w:sz w:val="28"/>
        </w:rPr>
        <w:t>ài</w:t>
      </w:r>
      <w:r w:rsidR="00F60EF8">
        <w:rPr>
          <w:sz w:val="28"/>
        </w:rPr>
        <w:t xml:space="preserve"> G</w:t>
      </w:r>
      <w:r w:rsidR="00F60EF8" w:rsidRPr="00F60EF8">
        <w:rPr>
          <w:sz w:val="28"/>
        </w:rPr>
        <w:t>òn</w:t>
      </w:r>
      <w:r w:rsidR="00F60EF8">
        <w:rPr>
          <w:sz w:val="28"/>
        </w:rPr>
        <w:t xml:space="preserve"> Thư</w:t>
      </w:r>
      <w:r w:rsidR="00F60EF8" w:rsidRPr="00F60EF8">
        <w:rPr>
          <w:sz w:val="28"/>
        </w:rPr>
        <w:t>ơ</w:t>
      </w:r>
      <w:r w:rsidR="00F60EF8">
        <w:rPr>
          <w:sz w:val="28"/>
        </w:rPr>
        <w:t>ng T</w:t>
      </w:r>
      <w:r w:rsidR="00F60EF8" w:rsidRPr="00F60EF8">
        <w:rPr>
          <w:sz w:val="28"/>
        </w:rPr>
        <w:t>í</w:t>
      </w:r>
      <w:r w:rsidR="00F60EF8">
        <w:rPr>
          <w:sz w:val="28"/>
        </w:rPr>
        <w:t>n</w:t>
      </w:r>
    </w:p>
    <w:p w:rsidR="00D74A77" w:rsidRPr="009F115F" w:rsidRDefault="00744D47" w:rsidP="00B313A3">
      <w:pPr>
        <w:ind w:left="743" w:firstLine="6"/>
        <w:jc w:val="center"/>
        <w:rPr>
          <w:sz w:val="28"/>
        </w:rPr>
      </w:pPr>
      <w:r w:rsidRPr="009F115F">
        <w:rPr>
          <w:sz w:val="28"/>
        </w:rPr>
        <w:t xml:space="preserve"> </w:t>
      </w:r>
      <w:r w:rsidR="00D74A77" w:rsidRPr="009F115F">
        <w:rPr>
          <w:sz w:val="28"/>
        </w:rPr>
        <w:t>Địa chỉ:</w:t>
      </w:r>
      <w:r w:rsidR="00127837">
        <w:rPr>
          <w:sz w:val="28"/>
        </w:rPr>
        <w:t xml:space="preserve"> </w:t>
      </w:r>
      <w:r w:rsidR="00F60EF8">
        <w:rPr>
          <w:sz w:val="28"/>
        </w:rPr>
        <w:t>278 Nam K</w:t>
      </w:r>
      <w:r w:rsidR="00F60EF8" w:rsidRPr="00F60EF8">
        <w:rPr>
          <w:sz w:val="28"/>
        </w:rPr>
        <w:t>ỳ</w:t>
      </w:r>
      <w:r w:rsidR="00F60EF8">
        <w:rPr>
          <w:sz w:val="28"/>
        </w:rPr>
        <w:t xml:space="preserve"> Kh</w:t>
      </w:r>
      <w:r w:rsidR="00F60EF8" w:rsidRPr="00F60EF8">
        <w:rPr>
          <w:sz w:val="28"/>
        </w:rPr>
        <w:t>ở</w:t>
      </w:r>
      <w:r w:rsidR="00F60EF8">
        <w:rPr>
          <w:sz w:val="28"/>
        </w:rPr>
        <w:t>i Ngh</w:t>
      </w:r>
      <w:r w:rsidR="00F60EF8" w:rsidRPr="00F60EF8">
        <w:rPr>
          <w:sz w:val="28"/>
        </w:rPr>
        <w:t>ĩa</w:t>
      </w:r>
      <w:r w:rsidR="00F60EF8">
        <w:rPr>
          <w:sz w:val="28"/>
        </w:rPr>
        <w:t>, P.8, Q.3, TP.HCM</w:t>
      </w:r>
    </w:p>
    <w:p w:rsidR="00B313A3" w:rsidRPr="009F115F" w:rsidRDefault="00102095" w:rsidP="00B313A3">
      <w:pPr>
        <w:ind w:left="743" w:firstLine="6"/>
        <w:jc w:val="center"/>
        <w:rPr>
          <w:sz w:val="28"/>
        </w:rPr>
      </w:pPr>
      <w:r w:rsidRPr="009F115F">
        <w:rPr>
          <w:sz w:val="28"/>
        </w:rPr>
        <w:t>Mã số thuế:</w:t>
      </w:r>
      <w:r w:rsidR="00305D33" w:rsidRPr="009F115F">
        <w:rPr>
          <w:sz w:val="28"/>
        </w:rPr>
        <w:t xml:space="preserve"> </w:t>
      </w:r>
      <w:r w:rsidR="00F856A3">
        <w:rPr>
          <w:sz w:val="28"/>
        </w:rPr>
        <w:t>0301095220</w:t>
      </w:r>
    </w:p>
    <w:p w:rsidR="008F45CA" w:rsidRDefault="007A4308" w:rsidP="00302BBE">
      <w:pPr>
        <w:spacing w:before="120" w:after="120"/>
        <w:ind w:firstLine="686"/>
        <w:jc w:val="both"/>
        <w:rPr>
          <w:spacing w:val="-4"/>
          <w:sz w:val="28"/>
        </w:rPr>
      </w:pPr>
      <w:r w:rsidRPr="00127AA2">
        <w:rPr>
          <w:spacing w:val="-4"/>
          <w:sz w:val="28"/>
        </w:rPr>
        <w:t>Trả lời văn bản số</w:t>
      </w:r>
      <w:r w:rsidR="00882966">
        <w:rPr>
          <w:spacing w:val="-4"/>
          <w:sz w:val="28"/>
        </w:rPr>
        <w:t xml:space="preserve"> </w:t>
      </w:r>
      <w:r w:rsidR="00F60EF8">
        <w:rPr>
          <w:spacing w:val="-4"/>
          <w:sz w:val="28"/>
        </w:rPr>
        <w:t>38/2015/CV-SBS</w:t>
      </w:r>
      <w:r w:rsidR="00F87E1C">
        <w:rPr>
          <w:spacing w:val="-4"/>
          <w:sz w:val="28"/>
        </w:rPr>
        <w:t xml:space="preserve"> </w:t>
      </w:r>
      <w:r w:rsidR="00305D33" w:rsidRPr="00127AA2">
        <w:rPr>
          <w:spacing w:val="-4"/>
          <w:sz w:val="28"/>
        </w:rPr>
        <w:t>ngày</w:t>
      </w:r>
      <w:r w:rsidR="00F87E1C">
        <w:rPr>
          <w:spacing w:val="-4"/>
          <w:sz w:val="28"/>
        </w:rPr>
        <w:t xml:space="preserve"> </w:t>
      </w:r>
      <w:r w:rsidR="00DE4F49">
        <w:rPr>
          <w:spacing w:val="-4"/>
          <w:sz w:val="28"/>
        </w:rPr>
        <w:t>29/01/2015</w:t>
      </w:r>
      <w:r w:rsidR="00297359" w:rsidRPr="00127AA2">
        <w:rPr>
          <w:spacing w:val="-4"/>
          <w:sz w:val="28"/>
        </w:rPr>
        <w:t xml:space="preserve"> của </w:t>
      </w:r>
      <w:r w:rsidR="00EF464A">
        <w:rPr>
          <w:spacing w:val="-4"/>
          <w:sz w:val="28"/>
        </w:rPr>
        <w:t>C</w:t>
      </w:r>
      <w:r w:rsidR="00EF464A" w:rsidRPr="00EF464A">
        <w:rPr>
          <w:spacing w:val="-4"/>
          <w:sz w:val="28"/>
        </w:rPr>
        <w:t>ô</w:t>
      </w:r>
      <w:r w:rsidR="00EF464A">
        <w:rPr>
          <w:spacing w:val="-4"/>
          <w:sz w:val="28"/>
        </w:rPr>
        <w:t>ng ty v</w:t>
      </w:r>
      <w:r w:rsidR="00EF464A" w:rsidRPr="00EF464A">
        <w:rPr>
          <w:spacing w:val="-4"/>
          <w:sz w:val="28"/>
        </w:rPr>
        <w:t>ề</w:t>
      </w:r>
      <w:r w:rsidR="00EF464A">
        <w:rPr>
          <w:spacing w:val="-4"/>
          <w:sz w:val="28"/>
        </w:rPr>
        <w:t xml:space="preserve"> </w:t>
      </w:r>
      <w:r w:rsidR="00DE4F49">
        <w:rPr>
          <w:spacing w:val="-4"/>
          <w:sz w:val="28"/>
        </w:rPr>
        <w:t>k</w:t>
      </w:r>
      <w:r w:rsidR="00DE4F49" w:rsidRPr="00DE4F49">
        <w:rPr>
          <w:spacing w:val="-4"/>
          <w:sz w:val="28"/>
        </w:rPr>
        <w:t>ê</w:t>
      </w:r>
      <w:r w:rsidR="00DE4F49">
        <w:rPr>
          <w:spacing w:val="-4"/>
          <w:sz w:val="28"/>
        </w:rPr>
        <w:t xml:space="preserve"> khai thu</w:t>
      </w:r>
      <w:r w:rsidR="00DE4F49" w:rsidRPr="00DE4F49">
        <w:rPr>
          <w:spacing w:val="-4"/>
          <w:sz w:val="28"/>
        </w:rPr>
        <w:t>ế</w:t>
      </w:r>
      <w:r w:rsidR="0049550D">
        <w:rPr>
          <w:spacing w:val="-4"/>
          <w:sz w:val="28"/>
        </w:rPr>
        <w:t xml:space="preserve"> giá trị gia tăng (GTGT)</w:t>
      </w:r>
      <w:r w:rsidR="00305D33" w:rsidRPr="00127AA2">
        <w:rPr>
          <w:spacing w:val="-4"/>
          <w:sz w:val="28"/>
        </w:rPr>
        <w:t xml:space="preserve">; </w:t>
      </w:r>
      <w:r w:rsidR="00297359" w:rsidRPr="00127AA2">
        <w:rPr>
          <w:spacing w:val="-4"/>
          <w:sz w:val="28"/>
        </w:rPr>
        <w:t xml:space="preserve">Cục </w:t>
      </w:r>
      <w:r w:rsidR="00BE0A89" w:rsidRPr="00127AA2">
        <w:rPr>
          <w:spacing w:val="-4"/>
          <w:sz w:val="28"/>
        </w:rPr>
        <w:t>T</w:t>
      </w:r>
      <w:r w:rsidR="00297359" w:rsidRPr="00127AA2">
        <w:rPr>
          <w:spacing w:val="-4"/>
          <w:sz w:val="28"/>
        </w:rPr>
        <w:t xml:space="preserve">huế </w:t>
      </w:r>
      <w:r w:rsidR="000001A5" w:rsidRPr="00127AA2">
        <w:rPr>
          <w:spacing w:val="-4"/>
          <w:sz w:val="28"/>
        </w:rPr>
        <w:t>TP</w:t>
      </w:r>
      <w:r w:rsidR="00297359" w:rsidRPr="00127AA2">
        <w:rPr>
          <w:spacing w:val="-4"/>
          <w:sz w:val="28"/>
        </w:rPr>
        <w:t xml:space="preserve"> </w:t>
      </w:r>
      <w:r w:rsidR="00141E55" w:rsidRPr="00127AA2">
        <w:rPr>
          <w:spacing w:val="-4"/>
          <w:sz w:val="28"/>
        </w:rPr>
        <w:t>c</w:t>
      </w:r>
      <w:r w:rsidR="00297359" w:rsidRPr="00127AA2">
        <w:rPr>
          <w:spacing w:val="-4"/>
          <w:sz w:val="28"/>
        </w:rPr>
        <w:t>ó ý kiến như sau:</w:t>
      </w:r>
    </w:p>
    <w:p w:rsidR="005256DC" w:rsidRDefault="0049550D" w:rsidP="00302BBE">
      <w:pPr>
        <w:spacing w:before="120" w:after="120"/>
        <w:ind w:right="147" w:firstLine="720"/>
        <w:jc w:val="both"/>
        <w:rPr>
          <w:sz w:val="28"/>
        </w:rPr>
      </w:pPr>
      <w:r w:rsidRPr="0049550D">
        <w:rPr>
          <w:spacing w:val="-10"/>
          <w:sz w:val="28"/>
        </w:rPr>
        <w:t>Căn cứ Khoản 2 Điều 14 Thông tư số 219/2013/TT-BTC ngày</w:t>
      </w:r>
      <w:r w:rsidRPr="0049550D">
        <w:rPr>
          <w:sz w:val="28"/>
        </w:rPr>
        <w:t xml:space="preserve"> 31/12/2013 của Bộ Tài chính hướng dẫn về thuế </w:t>
      </w:r>
      <w:r>
        <w:rPr>
          <w:sz w:val="28"/>
        </w:rPr>
        <w:t>giá trị gia tăng (GTGT) quy định về nguyên tắc khấu trừ thuế GTGT:</w:t>
      </w:r>
    </w:p>
    <w:p w:rsidR="0049550D" w:rsidRDefault="0049550D" w:rsidP="00302BBE">
      <w:pPr>
        <w:spacing w:before="120" w:after="120"/>
        <w:ind w:right="147" w:firstLine="720"/>
        <w:jc w:val="both"/>
        <w:rPr>
          <w:sz w:val="28"/>
          <w:szCs w:val="28"/>
        </w:rPr>
      </w:pPr>
      <w:r>
        <w:rPr>
          <w:sz w:val="28"/>
        </w:rPr>
        <w:t>“</w:t>
      </w:r>
      <w:r w:rsidRPr="00B309CE">
        <w:rPr>
          <w:sz w:val="28"/>
          <w:szCs w:val="28"/>
          <w:lang w:val="vi-VN"/>
        </w:rPr>
        <w:t>Thuế GTGT đầu vào của hàng hoá, dịch vụ</w:t>
      </w:r>
      <w:r w:rsidRPr="00B309CE">
        <w:rPr>
          <w:i/>
          <w:sz w:val="28"/>
          <w:szCs w:val="28"/>
          <w:lang w:val="vi-VN"/>
        </w:rPr>
        <w:t xml:space="preserve"> </w:t>
      </w:r>
      <w:r w:rsidRPr="00983530">
        <w:rPr>
          <w:sz w:val="28"/>
          <w:szCs w:val="28"/>
          <w:lang w:val="vi-VN"/>
        </w:rPr>
        <w:t>(kể cả tài sản cố định)</w:t>
      </w:r>
      <w:r w:rsidRPr="00B309CE">
        <w:rPr>
          <w:sz w:val="28"/>
          <w:szCs w:val="28"/>
          <w:lang w:val="vi-VN"/>
        </w:rPr>
        <w:t xml:space="preserve"> sử dụng</w:t>
      </w:r>
      <w:r w:rsidRPr="00B309CE">
        <w:rPr>
          <w:b/>
          <w:sz w:val="28"/>
          <w:szCs w:val="28"/>
          <w:lang w:val="vi-VN"/>
        </w:rPr>
        <w:t xml:space="preserve"> </w:t>
      </w:r>
      <w:r w:rsidRPr="00B309CE">
        <w:rPr>
          <w:sz w:val="28"/>
          <w:szCs w:val="28"/>
          <w:lang w:val="vi-VN"/>
        </w:rPr>
        <w:t xml:space="preserve">đồng thời cho sản xuất, kinh doanh hàng hoá, dịch vụ chịu thuế và không chịu thuế GTGT thì chỉ được khấu trừ số thuế GTGT đầu vào của hàng hoá, dịch vụ dùng cho sản xuất, kinh doanh hàng hoá, dịch vụ chịu thuế GTGT. Cơ sở kinh doanh phải hạch toán riêng thuế </w:t>
      </w:r>
      <w:r w:rsidRPr="00B609A9">
        <w:rPr>
          <w:sz w:val="28"/>
          <w:szCs w:val="28"/>
          <w:lang w:val="vi-VN"/>
        </w:rPr>
        <w:t>GTGT</w:t>
      </w:r>
      <w:r w:rsidRPr="00B309CE">
        <w:rPr>
          <w:sz w:val="28"/>
          <w:szCs w:val="28"/>
          <w:lang w:val="vi-VN"/>
        </w:rPr>
        <w:t xml:space="preserve"> đầu vào được khấu trừ và không được khấu trừ; trường hợp không hạch toán riêng được thì thuế đầu vào được khấu trừ tính theo tỷ lệ (%) giữa doanh </w:t>
      </w:r>
      <w:r w:rsidRPr="00983530">
        <w:rPr>
          <w:sz w:val="28"/>
          <w:szCs w:val="28"/>
          <w:lang w:val="vi-VN"/>
        </w:rPr>
        <w:t xml:space="preserve">thu </w:t>
      </w:r>
      <w:r w:rsidRPr="00B309CE">
        <w:rPr>
          <w:sz w:val="28"/>
          <w:szCs w:val="28"/>
          <w:lang w:val="vi-VN"/>
        </w:rPr>
        <w:t xml:space="preserve">chịu thuế </w:t>
      </w:r>
      <w:r w:rsidRPr="00B609A9">
        <w:rPr>
          <w:sz w:val="28"/>
          <w:szCs w:val="28"/>
          <w:lang w:val="vi-VN"/>
        </w:rPr>
        <w:t>GTGT</w:t>
      </w:r>
      <w:r w:rsidRPr="00B309CE">
        <w:rPr>
          <w:sz w:val="28"/>
          <w:szCs w:val="28"/>
          <w:lang w:val="vi-VN"/>
        </w:rPr>
        <w:t xml:space="preserve"> so với tổng doanh </w:t>
      </w:r>
      <w:r w:rsidRPr="00983530">
        <w:rPr>
          <w:sz w:val="28"/>
          <w:szCs w:val="28"/>
          <w:lang w:val="vi-VN"/>
        </w:rPr>
        <w:t xml:space="preserve">thu </w:t>
      </w:r>
      <w:r w:rsidRPr="00B309CE">
        <w:rPr>
          <w:sz w:val="28"/>
          <w:szCs w:val="28"/>
          <w:lang w:val="vi-VN"/>
        </w:rPr>
        <w:t xml:space="preserve">của hàng hoá, dịch vụ bán ra </w:t>
      </w:r>
      <w:r w:rsidRPr="00983530">
        <w:rPr>
          <w:sz w:val="28"/>
          <w:szCs w:val="28"/>
          <w:lang w:val="vi-VN"/>
        </w:rPr>
        <w:t>không hạch toán riêng được.</w:t>
      </w:r>
    </w:p>
    <w:p w:rsidR="0049550D" w:rsidRPr="0049550D" w:rsidRDefault="0049550D" w:rsidP="00302BBE">
      <w:pPr>
        <w:widowControl w:val="0"/>
        <w:spacing w:before="140" w:after="140"/>
        <w:ind w:firstLine="720"/>
        <w:jc w:val="both"/>
        <w:rPr>
          <w:sz w:val="28"/>
          <w:szCs w:val="28"/>
          <w:lang w:val="vi-VN"/>
        </w:rPr>
      </w:pPr>
      <w:r w:rsidRPr="00B309CE">
        <w:rPr>
          <w:sz w:val="28"/>
          <w:szCs w:val="28"/>
          <w:lang w:val="vi-VN"/>
        </w:rPr>
        <w:t xml:space="preserve">Cơ sở kinh doanh hàng hoá, dịch vụ chịu thuế và không chịu thuế GTGT hàng tháng tạm phân bổ số thuế GTGT của hàng hoá, dịch vụ, </w:t>
      </w:r>
      <w:r w:rsidRPr="00983530">
        <w:rPr>
          <w:sz w:val="28"/>
          <w:szCs w:val="28"/>
          <w:lang w:val="vi-VN"/>
        </w:rPr>
        <w:t>tài sản cố định</w:t>
      </w:r>
      <w:r w:rsidRPr="00B309CE">
        <w:rPr>
          <w:sz w:val="28"/>
          <w:szCs w:val="28"/>
          <w:lang w:val="vi-VN"/>
        </w:rPr>
        <w:t xml:space="preserve"> mua vào được khấu trừ trong tháng, cuối năm cơ sở kinh doanh thực hiện tính phân bổ số thuế GTGT đầu vào được khấu trừ của năm để kê khai điều chỉnh thuế GTGT đầu vào đã tạm phân bổ khấu trừ theo tháng.</w:t>
      </w:r>
      <w:r>
        <w:rPr>
          <w:sz w:val="28"/>
          <w:szCs w:val="28"/>
        </w:rPr>
        <w:t>”</w:t>
      </w:r>
    </w:p>
    <w:p w:rsidR="0049550D" w:rsidRDefault="0049550D" w:rsidP="00302BBE">
      <w:pPr>
        <w:spacing w:before="120" w:after="120"/>
        <w:ind w:right="147" w:firstLine="720"/>
        <w:jc w:val="both"/>
        <w:rPr>
          <w:sz w:val="28"/>
          <w:szCs w:val="28"/>
        </w:rPr>
      </w:pPr>
      <w:r>
        <w:rPr>
          <w:sz w:val="28"/>
          <w:szCs w:val="28"/>
        </w:rPr>
        <w:t xml:space="preserve">Căn cứ </w:t>
      </w:r>
      <w:r w:rsidR="00B41B9F">
        <w:rPr>
          <w:sz w:val="28"/>
          <w:szCs w:val="28"/>
        </w:rPr>
        <w:t xml:space="preserve">Khoản 2 Điều 1 </w:t>
      </w:r>
      <w:r>
        <w:rPr>
          <w:sz w:val="28"/>
          <w:szCs w:val="28"/>
        </w:rPr>
        <w:t xml:space="preserve">Thông tư số 119/2014/TT-BTC ngày 25/08/2015 của Bộ Tài chính sửa đổi bổ sung </w:t>
      </w:r>
      <w:r w:rsidR="00B41B9F">
        <w:rPr>
          <w:sz w:val="28"/>
          <w:szCs w:val="28"/>
        </w:rPr>
        <w:t>Thông tư số 156/2013/TT-BTC ngày 06/11/2013 của Bộ Tài chính</w:t>
      </w:r>
      <w:r>
        <w:rPr>
          <w:sz w:val="28"/>
          <w:szCs w:val="28"/>
        </w:rPr>
        <w:t xml:space="preserve"> để cải cách, đơn </w:t>
      </w:r>
      <w:r w:rsidR="00B41B9F">
        <w:rPr>
          <w:sz w:val="28"/>
          <w:szCs w:val="28"/>
        </w:rPr>
        <w:t>giản thủ tục hành chính về thuế:</w:t>
      </w:r>
    </w:p>
    <w:p w:rsidR="00B41B9F" w:rsidRPr="00A97371" w:rsidRDefault="00B41B9F" w:rsidP="00302BBE">
      <w:pPr>
        <w:pStyle w:val="ListParagraph"/>
        <w:spacing w:before="70" w:after="70" w:line="240" w:lineRule="auto"/>
        <w:ind w:left="0" w:firstLine="540"/>
        <w:contextualSpacing w:val="0"/>
        <w:jc w:val="both"/>
        <w:rPr>
          <w:szCs w:val="28"/>
        </w:rPr>
      </w:pPr>
      <w:r>
        <w:rPr>
          <w:szCs w:val="28"/>
        </w:rPr>
        <w:t>“</w:t>
      </w:r>
      <w:r w:rsidRPr="00A97371">
        <w:rPr>
          <w:szCs w:val="28"/>
        </w:rPr>
        <w:t>Sửa đổi điểm b khoản 3 Điều 11 Thông tư số 156/2013/TT-BTC như sau:</w:t>
      </w:r>
    </w:p>
    <w:p w:rsidR="00B41B9F" w:rsidRPr="00A97371" w:rsidRDefault="00B41B9F" w:rsidP="00302BBE">
      <w:pPr>
        <w:spacing w:before="70" w:after="70"/>
        <w:ind w:firstLine="700"/>
        <w:jc w:val="both"/>
        <w:rPr>
          <w:sz w:val="28"/>
          <w:szCs w:val="28"/>
        </w:rPr>
      </w:pPr>
      <w:r>
        <w:rPr>
          <w:sz w:val="28"/>
          <w:szCs w:val="28"/>
        </w:rPr>
        <w:t>“</w:t>
      </w:r>
      <w:r w:rsidRPr="00A97371">
        <w:rPr>
          <w:sz w:val="28"/>
          <w:szCs w:val="28"/>
          <w:lang w:val="am-ET"/>
        </w:rPr>
        <w:t>b) Hồ sơ khai thuế giá trị gia tăng tháng, quý áp dụng phương pháp khấu trừ thuế</w:t>
      </w:r>
      <w:r>
        <w:rPr>
          <w:sz w:val="28"/>
          <w:szCs w:val="28"/>
        </w:rPr>
        <w:t>:</w:t>
      </w:r>
    </w:p>
    <w:p w:rsidR="00B41B9F" w:rsidRPr="00A97371" w:rsidRDefault="00B41B9F" w:rsidP="00302BBE">
      <w:pPr>
        <w:spacing w:before="70" w:after="70"/>
        <w:ind w:firstLine="700"/>
        <w:jc w:val="both"/>
        <w:rPr>
          <w:sz w:val="28"/>
          <w:szCs w:val="28"/>
          <w:lang w:val="am-ET"/>
        </w:rPr>
      </w:pPr>
      <w:r w:rsidRPr="00A97371">
        <w:rPr>
          <w:sz w:val="28"/>
          <w:szCs w:val="28"/>
          <w:lang w:val="am-ET"/>
        </w:rPr>
        <w:t>- Tờ khai thuế giá trị gia tăng theo mẫu số 01/GTGT ban hành kèm theo Thông tư này;</w:t>
      </w:r>
    </w:p>
    <w:p w:rsidR="00B41B9F" w:rsidRPr="00A97371" w:rsidRDefault="00B41B9F" w:rsidP="00302BBE">
      <w:pPr>
        <w:spacing w:before="70" w:after="70"/>
        <w:ind w:firstLine="700"/>
        <w:jc w:val="both"/>
        <w:rPr>
          <w:sz w:val="28"/>
          <w:szCs w:val="28"/>
          <w:lang w:val="am-ET"/>
        </w:rPr>
      </w:pPr>
      <w:r w:rsidRPr="00A97371">
        <w:rPr>
          <w:sz w:val="28"/>
          <w:szCs w:val="28"/>
          <w:lang w:val="am-ET"/>
        </w:rPr>
        <w:t>- Bảng kê hoá đơn</w:t>
      </w:r>
      <w:r w:rsidRPr="007B7132">
        <w:rPr>
          <w:sz w:val="28"/>
          <w:szCs w:val="28"/>
          <w:lang w:val="am-ET"/>
        </w:rPr>
        <w:t>, chứng từ</w:t>
      </w:r>
      <w:r w:rsidRPr="00A97371">
        <w:rPr>
          <w:sz w:val="28"/>
          <w:szCs w:val="28"/>
          <w:lang w:val="am-ET"/>
        </w:rPr>
        <w:t xml:space="preserve"> hàng hoá</w:t>
      </w:r>
      <w:r w:rsidRPr="007B7132">
        <w:rPr>
          <w:sz w:val="28"/>
          <w:szCs w:val="28"/>
          <w:lang w:val="am-ET"/>
        </w:rPr>
        <w:t>,</w:t>
      </w:r>
      <w:r w:rsidRPr="00A97371">
        <w:rPr>
          <w:sz w:val="28"/>
          <w:szCs w:val="28"/>
          <w:lang w:val="am-ET"/>
        </w:rPr>
        <w:t xml:space="preserve"> dịch vụ bán ra theo mẫu số 01-1/GTGT ban hành kèm theo Thông tư này;</w:t>
      </w:r>
    </w:p>
    <w:p w:rsidR="00B41B9F" w:rsidRPr="00A97371" w:rsidRDefault="00B41B9F" w:rsidP="00302BBE">
      <w:pPr>
        <w:spacing w:before="70" w:after="70"/>
        <w:ind w:firstLine="700"/>
        <w:jc w:val="both"/>
        <w:rPr>
          <w:spacing w:val="-8"/>
          <w:sz w:val="28"/>
          <w:szCs w:val="28"/>
          <w:lang w:val="am-ET"/>
        </w:rPr>
      </w:pPr>
      <w:r w:rsidRPr="00A97371">
        <w:rPr>
          <w:spacing w:val="-8"/>
          <w:sz w:val="28"/>
          <w:szCs w:val="28"/>
          <w:lang w:val="am-ET"/>
        </w:rPr>
        <w:t>- Bảng kê hoá đơn, chứng từ hàng hoá</w:t>
      </w:r>
      <w:r w:rsidRPr="007B7132">
        <w:rPr>
          <w:spacing w:val="-8"/>
          <w:sz w:val="28"/>
          <w:szCs w:val="28"/>
          <w:lang w:val="am-ET"/>
        </w:rPr>
        <w:t>,</w:t>
      </w:r>
      <w:r w:rsidRPr="00A97371">
        <w:rPr>
          <w:spacing w:val="-8"/>
          <w:sz w:val="28"/>
          <w:szCs w:val="28"/>
          <w:lang w:val="am-ET"/>
        </w:rPr>
        <w:t xml:space="preserve"> dịch vụ mua vào theo mẫu số 01-2/GTGT ban hành kèm theo Thông tư này;</w:t>
      </w:r>
    </w:p>
    <w:p w:rsidR="00B41B9F" w:rsidRPr="00A97371" w:rsidRDefault="00B41B9F" w:rsidP="00302BBE">
      <w:pPr>
        <w:spacing w:before="70" w:after="70"/>
        <w:ind w:firstLine="700"/>
        <w:jc w:val="both"/>
        <w:rPr>
          <w:sz w:val="28"/>
          <w:szCs w:val="28"/>
          <w:lang w:val="am-ET"/>
        </w:rPr>
      </w:pPr>
      <w:r w:rsidRPr="00A97371">
        <w:rPr>
          <w:sz w:val="28"/>
          <w:szCs w:val="28"/>
          <w:lang w:val="am-ET"/>
        </w:rPr>
        <w:lastRenderedPageBreak/>
        <w:t>- Bảng kê số thuế giá trị gia tăng đã nộp của doanh thu kinh doanh xây dựng, lắp đặt, bán hàng vãng lai, chuyển nhượng bất động sản ngoại tỉnh theo mẫu số 01-5/GTGT ban hành kèm theo Thông tư này.</w:t>
      </w:r>
    </w:p>
    <w:p w:rsidR="00B41B9F" w:rsidRDefault="00B41B9F" w:rsidP="00302BBE">
      <w:pPr>
        <w:spacing w:before="70" w:after="70"/>
        <w:ind w:firstLine="700"/>
        <w:jc w:val="both"/>
        <w:rPr>
          <w:sz w:val="28"/>
          <w:szCs w:val="28"/>
        </w:rPr>
      </w:pPr>
      <w:r w:rsidRPr="00A97371">
        <w:rPr>
          <w:sz w:val="28"/>
          <w:szCs w:val="28"/>
          <w:lang w:val="am-ET"/>
        </w:rPr>
        <w:t xml:space="preserve">- Bảng phân bổ thuế GTGT cho địa phương nơi đóng trụ sở chính và cho các địa phương nơi có cơ sở sản xuất trực thuộc không thực hiện hạch toán kế toán (nếu có) theo mẫu số </w:t>
      </w:r>
      <w:r>
        <w:rPr>
          <w:sz w:val="28"/>
          <w:szCs w:val="28"/>
          <w:lang w:val="am-ET"/>
        </w:rPr>
        <w:t>01-6/GTGT kèm theo Thông tư này</w:t>
      </w:r>
      <w:r w:rsidRPr="00B43809">
        <w:rPr>
          <w:sz w:val="28"/>
          <w:szCs w:val="28"/>
          <w:lang w:val="am-ET"/>
        </w:rPr>
        <w:t>”.</w:t>
      </w:r>
      <w:r>
        <w:rPr>
          <w:sz w:val="28"/>
          <w:szCs w:val="28"/>
        </w:rPr>
        <w:t>”</w:t>
      </w:r>
    </w:p>
    <w:p w:rsidR="00B41B9F" w:rsidRDefault="00B41B9F" w:rsidP="00302BBE">
      <w:pPr>
        <w:spacing w:before="70" w:after="70"/>
        <w:ind w:firstLine="700"/>
        <w:jc w:val="both"/>
        <w:rPr>
          <w:sz w:val="28"/>
          <w:szCs w:val="28"/>
        </w:rPr>
      </w:pPr>
      <w:r>
        <w:rPr>
          <w:sz w:val="28"/>
          <w:szCs w:val="28"/>
        </w:rPr>
        <w:t xml:space="preserve">Căn cứ Điểm 2 </w:t>
      </w:r>
      <w:r w:rsidR="00091FED">
        <w:rPr>
          <w:sz w:val="28"/>
          <w:szCs w:val="28"/>
        </w:rPr>
        <w:t>Mục</w:t>
      </w:r>
      <w:r>
        <w:rPr>
          <w:sz w:val="28"/>
          <w:szCs w:val="28"/>
        </w:rPr>
        <w:t xml:space="preserve"> I Công văn số 3609/TCT-CS ngày 26/08/2014 của Bộ Tài chính hướng dẫn các điểm mới của Thông tư số 119/2014/TT-BTC ngày 25/08/2014 của Bộ Tài chính:</w:t>
      </w:r>
    </w:p>
    <w:p w:rsidR="00B41B9F" w:rsidRDefault="00B41B9F" w:rsidP="00302BBE">
      <w:pPr>
        <w:spacing w:before="40" w:after="40"/>
        <w:jc w:val="both"/>
        <w:rPr>
          <w:sz w:val="28"/>
          <w:szCs w:val="28"/>
        </w:rPr>
      </w:pPr>
      <w:r>
        <w:rPr>
          <w:sz w:val="28"/>
          <w:szCs w:val="28"/>
        </w:rPr>
        <w:t>“</w:t>
      </w:r>
      <w:r w:rsidRPr="00DD4993">
        <w:rPr>
          <w:sz w:val="28"/>
          <w:szCs w:val="28"/>
        </w:rPr>
        <w:t xml:space="preserve">Sửa đổi điểm b khoản 3 Điều 11 Thông tư số 156/2013/TT-BTC </w:t>
      </w:r>
      <w:r>
        <w:rPr>
          <w:sz w:val="28"/>
          <w:szCs w:val="28"/>
        </w:rPr>
        <w:t>v</w:t>
      </w:r>
      <w:r w:rsidRPr="000D485D">
        <w:rPr>
          <w:sz w:val="28"/>
          <w:szCs w:val="28"/>
        </w:rPr>
        <w:t>ề</w:t>
      </w:r>
      <w:r>
        <w:rPr>
          <w:sz w:val="28"/>
          <w:szCs w:val="28"/>
        </w:rPr>
        <w:t xml:space="preserve"> h</w:t>
      </w:r>
      <w:r w:rsidRPr="000D485D">
        <w:rPr>
          <w:sz w:val="28"/>
          <w:szCs w:val="28"/>
        </w:rPr>
        <w:t>ồ</w:t>
      </w:r>
      <w:r>
        <w:rPr>
          <w:sz w:val="28"/>
          <w:szCs w:val="28"/>
        </w:rPr>
        <w:t xml:space="preserve"> s</w:t>
      </w:r>
      <w:r w:rsidRPr="000D485D">
        <w:rPr>
          <w:sz w:val="28"/>
          <w:szCs w:val="28"/>
        </w:rPr>
        <w:t>ơ</w:t>
      </w:r>
      <w:r>
        <w:rPr>
          <w:sz w:val="28"/>
          <w:szCs w:val="28"/>
        </w:rPr>
        <w:t xml:space="preserve"> khai thu</w:t>
      </w:r>
      <w:r w:rsidRPr="000D485D">
        <w:rPr>
          <w:sz w:val="28"/>
          <w:szCs w:val="28"/>
        </w:rPr>
        <w:t>ế</w:t>
      </w:r>
      <w:r>
        <w:rPr>
          <w:sz w:val="28"/>
          <w:szCs w:val="28"/>
        </w:rPr>
        <w:t xml:space="preserve">, theo </w:t>
      </w:r>
      <w:r w:rsidRPr="000D485D">
        <w:rPr>
          <w:sz w:val="28"/>
          <w:szCs w:val="28"/>
        </w:rPr>
        <w:t>đó</w:t>
      </w:r>
      <w:r>
        <w:rPr>
          <w:sz w:val="28"/>
          <w:szCs w:val="28"/>
        </w:rPr>
        <w:t xml:space="preserve">: </w:t>
      </w:r>
    </w:p>
    <w:p w:rsidR="00B41B9F" w:rsidRDefault="00B41B9F" w:rsidP="00302BBE">
      <w:pPr>
        <w:spacing w:before="40" w:after="40"/>
        <w:jc w:val="both"/>
        <w:rPr>
          <w:sz w:val="28"/>
          <w:szCs w:val="28"/>
        </w:rPr>
      </w:pPr>
      <w:r>
        <w:rPr>
          <w:sz w:val="28"/>
          <w:szCs w:val="28"/>
        </w:rPr>
        <w:tab/>
        <w:t>B</w:t>
      </w:r>
      <w:r w:rsidRPr="00DD4993">
        <w:rPr>
          <w:sz w:val="28"/>
          <w:szCs w:val="28"/>
        </w:rPr>
        <w:t>ã</w:t>
      </w:r>
      <w:r>
        <w:rPr>
          <w:sz w:val="28"/>
          <w:szCs w:val="28"/>
        </w:rPr>
        <w:t>i b</w:t>
      </w:r>
      <w:r w:rsidRPr="00DD4993">
        <w:rPr>
          <w:sz w:val="28"/>
          <w:szCs w:val="28"/>
        </w:rPr>
        <w:t>ỏ</w:t>
      </w:r>
      <w:r>
        <w:rPr>
          <w:sz w:val="28"/>
          <w:szCs w:val="28"/>
        </w:rPr>
        <w:t xml:space="preserve"> c</w:t>
      </w:r>
      <w:r w:rsidRPr="00DD4993">
        <w:rPr>
          <w:sz w:val="28"/>
          <w:szCs w:val="28"/>
        </w:rPr>
        <w:t>ác</w:t>
      </w:r>
      <w:r>
        <w:rPr>
          <w:sz w:val="28"/>
          <w:szCs w:val="28"/>
        </w:rPr>
        <w:t xml:space="preserve"> b</w:t>
      </w:r>
      <w:r w:rsidRPr="00DD4993">
        <w:rPr>
          <w:sz w:val="28"/>
          <w:szCs w:val="28"/>
        </w:rPr>
        <w:t>ảng</w:t>
      </w:r>
      <w:r>
        <w:rPr>
          <w:sz w:val="28"/>
          <w:szCs w:val="28"/>
        </w:rPr>
        <w:t xml:space="preserve"> k</w:t>
      </w:r>
      <w:r w:rsidRPr="00DD4993">
        <w:rPr>
          <w:sz w:val="28"/>
          <w:szCs w:val="28"/>
        </w:rPr>
        <w:t>ê</w:t>
      </w:r>
      <w:r>
        <w:rPr>
          <w:sz w:val="28"/>
          <w:szCs w:val="28"/>
        </w:rPr>
        <w:t xml:space="preserve"> sau trong h</w:t>
      </w:r>
      <w:r w:rsidRPr="00DD4993">
        <w:rPr>
          <w:sz w:val="28"/>
          <w:szCs w:val="28"/>
        </w:rPr>
        <w:t>ồ</w:t>
      </w:r>
      <w:r>
        <w:rPr>
          <w:sz w:val="28"/>
          <w:szCs w:val="28"/>
        </w:rPr>
        <w:t xml:space="preserve"> s</w:t>
      </w:r>
      <w:r w:rsidRPr="00DD4993">
        <w:rPr>
          <w:sz w:val="28"/>
          <w:szCs w:val="28"/>
        </w:rPr>
        <w:t>ơ</w:t>
      </w:r>
      <w:r>
        <w:rPr>
          <w:sz w:val="28"/>
          <w:szCs w:val="28"/>
        </w:rPr>
        <w:t xml:space="preserve"> khai thu</w:t>
      </w:r>
      <w:r w:rsidRPr="00DD4993">
        <w:rPr>
          <w:sz w:val="28"/>
          <w:szCs w:val="28"/>
        </w:rPr>
        <w:t>ế</w:t>
      </w:r>
      <w:r>
        <w:rPr>
          <w:sz w:val="28"/>
          <w:szCs w:val="28"/>
        </w:rPr>
        <w:t xml:space="preserve"> GTGT:</w:t>
      </w:r>
    </w:p>
    <w:p w:rsidR="00B41B9F" w:rsidRDefault="00B41B9F" w:rsidP="00302BBE">
      <w:pPr>
        <w:spacing w:before="40" w:after="40"/>
        <w:jc w:val="both"/>
        <w:rPr>
          <w:sz w:val="28"/>
          <w:szCs w:val="28"/>
        </w:rPr>
      </w:pPr>
      <w:r>
        <w:rPr>
          <w:sz w:val="28"/>
          <w:szCs w:val="28"/>
        </w:rPr>
        <w:tab/>
        <w:t>+ Bảng kê hàng hóa, dịch vụ được áp dụng thuế suất thuế GTGT 0% (mẫu số 01-3/GTGT).</w:t>
      </w:r>
    </w:p>
    <w:p w:rsidR="00B41B9F" w:rsidRDefault="00B41B9F" w:rsidP="00302BBE">
      <w:pPr>
        <w:spacing w:before="40" w:after="40"/>
        <w:jc w:val="both"/>
        <w:rPr>
          <w:sz w:val="28"/>
          <w:szCs w:val="28"/>
        </w:rPr>
      </w:pPr>
      <w:r>
        <w:rPr>
          <w:sz w:val="28"/>
          <w:szCs w:val="28"/>
        </w:rPr>
        <w:tab/>
        <w:t>+ Bảng kê phân bổ số thuế giá trị gia tăng của hàng hóa dịch vụ mua vào được khấu trừ trong kỳ (mẫu số 01-4A/GTGT).</w:t>
      </w:r>
    </w:p>
    <w:p w:rsidR="00B41B9F" w:rsidRDefault="00B41B9F" w:rsidP="00302BBE">
      <w:pPr>
        <w:spacing w:before="40" w:after="40"/>
        <w:jc w:val="both"/>
        <w:rPr>
          <w:sz w:val="28"/>
          <w:szCs w:val="28"/>
        </w:rPr>
      </w:pPr>
      <w:r>
        <w:rPr>
          <w:sz w:val="28"/>
          <w:szCs w:val="28"/>
        </w:rPr>
        <w:tab/>
        <w:t>+ Bảng kê khai điều chỉnh thuế GTGT đầu vào phân bổ được khấu trừ năm (mẫu số 01-4B/GTGT).</w:t>
      </w:r>
    </w:p>
    <w:p w:rsidR="007266BE" w:rsidRDefault="00B41B9F" w:rsidP="00302BBE">
      <w:pPr>
        <w:spacing w:before="40" w:after="40"/>
        <w:jc w:val="both"/>
        <w:rPr>
          <w:sz w:val="28"/>
          <w:szCs w:val="28"/>
        </w:rPr>
      </w:pPr>
      <w:r>
        <w:rPr>
          <w:sz w:val="28"/>
          <w:szCs w:val="28"/>
        </w:rPr>
        <w:tab/>
        <w:t>+ Bảng kê số lượng xe ô tô, xe hai bánh gắn máy bán ra (mẫu số 01-7/GTGT)</w:t>
      </w:r>
      <w:r w:rsidR="00302BBE">
        <w:rPr>
          <w:sz w:val="28"/>
          <w:szCs w:val="28"/>
        </w:rPr>
        <w:t>”</w:t>
      </w:r>
    </w:p>
    <w:p w:rsidR="00F856A3" w:rsidRPr="00302BBE" w:rsidRDefault="00302BBE" w:rsidP="00302BBE">
      <w:pPr>
        <w:spacing w:before="120" w:after="120"/>
        <w:ind w:right="147" w:firstLine="720"/>
        <w:jc w:val="both"/>
        <w:rPr>
          <w:sz w:val="28"/>
          <w:szCs w:val="28"/>
        </w:rPr>
      </w:pPr>
      <w:r>
        <w:rPr>
          <w:sz w:val="28"/>
          <w:szCs w:val="28"/>
        </w:rPr>
        <w:t>Trường hợp Công ty là đơn vị có hoạt động kinh doanh chịu thuế GTGT v</w:t>
      </w:r>
      <w:r w:rsidR="00091FED">
        <w:rPr>
          <w:sz w:val="28"/>
          <w:szCs w:val="28"/>
        </w:rPr>
        <w:t>ừa</w:t>
      </w:r>
      <w:r>
        <w:rPr>
          <w:sz w:val="28"/>
          <w:szCs w:val="28"/>
        </w:rPr>
        <w:t xml:space="preserve"> có hoạt động không chịu thuế GTGT thì k</w:t>
      </w:r>
      <w:r w:rsidR="00B41B9F">
        <w:rPr>
          <w:sz w:val="28"/>
          <w:szCs w:val="28"/>
        </w:rPr>
        <w:t>ể từ ngày 01/09/2014 khi kê khai thuế GTGT công ty không phải lập bảng kê phân bổ số thuế GTGT của hàng hóa dịch vụ mua vào được khấu trừ trong kỳ (m</w:t>
      </w:r>
      <w:r w:rsidR="00091FED">
        <w:rPr>
          <w:sz w:val="28"/>
          <w:szCs w:val="28"/>
        </w:rPr>
        <w:t>ẫu số 01-4A/GTGT);</w:t>
      </w:r>
      <w:r w:rsidR="00B41B9F">
        <w:rPr>
          <w:sz w:val="28"/>
          <w:szCs w:val="28"/>
        </w:rPr>
        <w:t xml:space="preserve"> </w:t>
      </w:r>
      <w:r>
        <w:rPr>
          <w:sz w:val="28"/>
          <w:szCs w:val="28"/>
        </w:rPr>
        <w:t xml:space="preserve">Công ty tự xác định số thuế GTGT được khấu trừ (thực hiện phân bổ theo hướng dẫn tại Khoản 2 Điều 14 Thông tư số 219/2013/TT-BTC nêu trên) và </w:t>
      </w:r>
      <w:r w:rsidR="00091FED">
        <w:rPr>
          <w:sz w:val="28"/>
          <w:szCs w:val="28"/>
        </w:rPr>
        <w:t xml:space="preserve">nhập </w:t>
      </w:r>
      <w:r>
        <w:rPr>
          <w:sz w:val="28"/>
          <w:szCs w:val="28"/>
        </w:rPr>
        <w:t>vào chỉ tiêu số [25] “tổng số thuế GTGT được khấu trừ kì này” của Tờ khai thuế GTGT mẫu số 01/GTGT.</w:t>
      </w:r>
    </w:p>
    <w:p w:rsidR="00B36987" w:rsidRDefault="007622FD" w:rsidP="00D64371">
      <w:pPr>
        <w:spacing w:beforeLines="40" w:afterLines="40"/>
        <w:ind w:firstLine="720"/>
        <w:jc w:val="both"/>
        <w:rPr>
          <w:sz w:val="28"/>
          <w:szCs w:val="28"/>
          <w:lang w:val="nl-NL"/>
        </w:rPr>
      </w:pPr>
      <w:r w:rsidRPr="009F115F">
        <w:rPr>
          <w:sz w:val="28"/>
        </w:rPr>
        <w:t xml:space="preserve">Cục </w:t>
      </w:r>
      <w:r w:rsidR="00BE0A89" w:rsidRPr="009F115F">
        <w:rPr>
          <w:sz w:val="28"/>
        </w:rPr>
        <w:t>T</w:t>
      </w:r>
      <w:r w:rsidRPr="009F115F">
        <w:rPr>
          <w:sz w:val="28"/>
        </w:rPr>
        <w:t>huế</w:t>
      </w:r>
      <w:r w:rsidR="00141E55" w:rsidRPr="009F115F">
        <w:rPr>
          <w:sz w:val="28"/>
        </w:rPr>
        <w:t xml:space="preserve"> TP</w:t>
      </w:r>
      <w:r w:rsidR="00BB2264" w:rsidRPr="009F115F">
        <w:rPr>
          <w:sz w:val="28"/>
        </w:rPr>
        <w:t xml:space="preserve"> </w:t>
      </w:r>
      <w:r w:rsidRPr="009F115F">
        <w:rPr>
          <w:sz w:val="28"/>
          <w:szCs w:val="28"/>
          <w:lang w:val="nl-NL"/>
        </w:rPr>
        <w:t xml:space="preserve">thông báo </w:t>
      </w:r>
      <w:r w:rsidR="00F87E1C">
        <w:rPr>
          <w:sz w:val="28"/>
          <w:szCs w:val="28"/>
          <w:lang w:val="nl-NL"/>
        </w:rPr>
        <w:t>C</w:t>
      </w:r>
      <w:r w:rsidR="00424E1C">
        <w:rPr>
          <w:sz w:val="28"/>
          <w:szCs w:val="28"/>
          <w:lang w:val="nl-NL"/>
        </w:rPr>
        <w:t>ông ty</w:t>
      </w:r>
      <w:r w:rsidRPr="009F115F">
        <w:rPr>
          <w:sz w:val="28"/>
          <w:szCs w:val="28"/>
          <w:lang w:val="nl-NL"/>
        </w:rPr>
        <w:t xml:space="preserve"> biết để thực hiện theo đúng quy định tại các văn bản quy phạm pháp luật đã được trích dẫn tại văn bản này.</w:t>
      </w:r>
    </w:p>
    <w:p w:rsidR="00AC25BC" w:rsidRPr="002002F3" w:rsidRDefault="00AC25BC" w:rsidP="00D64371">
      <w:pPr>
        <w:spacing w:beforeLines="40" w:afterLines="40"/>
        <w:ind w:firstLine="720"/>
        <w:jc w:val="both"/>
        <w:rPr>
          <w:sz w:val="28"/>
          <w:szCs w:val="28"/>
          <w:lang w:val="nl-NL"/>
        </w:rPr>
      </w:pPr>
    </w:p>
    <w:tbl>
      <w:tblPr>
        <w:tblW w:w="9593" w:type="dxa"/>
        <w:tblLayout w:type="fixed"/>
        <w:tblLook w:val="0000"/>
      </w:tblPr>
      <w:tblGrid>
        <w:gridCol w:w="4497"/>
        <w:gridCol w:w="5096"/>
      </w:tblGrid>
      <w:tr w:rsidR="00B36987" w:rsidRPr="00067971" w:rsidTr="00E133F8">
        <w:trPr>
          <w:trHeight w:val="2105"/>
        </w:trPr>
        <w:tc>
          <w:tcPr>
            <w:tcW w:w="4497" w:type="dxa"/>
          </w:tcPr>
          <w:p w:rsidR="00B36987" w:rsidRPr="00B36987" w:rsidRDefault="00B36987" w:rsidP="005256DC">
            <w:pPr>
              <w:ind w:right="-714"/>
              <w:jc w:val="both"/>
              <w:rPr>
                <w:b/>
                <w:i/>
              </w:rPr>
            </w:pPr>
          </w:p>
          <w:p w:rsidR="00B36987" w:rsidRPr="00B55D74" w:rsidRDefault="00B36987" w:rsidP="005256DC">
            <w:pPr>
              <w:ind w:right="-714"/>
              <w:jc w:val="both"/>
              <w:rPr>
                <w:b/>
                <w:i/>
                <w:lang w:val="vi-VN"/>
              </w:rPr>
            </w:pPr>
          </w:p>
          <w:p w:rsidR="00B36987" w:rsidRPr="00B43553" w:rsidRDefault="00B36987" w:rsidP="005256DC">
            <w:pPr>
              <w:ind w:right="-714"/>
              <w:jc w:val="both"/>
              <w:rPr>
                <w:b/>
                <w:i/>
                <w:lang w:val="nl-NL"/>
              </w:rPr>
            </w:pPr>
            <w:r w:rsidRPr="00B43553">
              <w:rPr>
                <w:b/>
                <w:i/>
                <w:lang w:val="nl-NL"/>
              </w:rPr>
              <w:t>Nơi nhận:</w:t>
            </w:r>
          </w:p>
          <w:p w:rsidR="00B36987" w:rsidRPr="00B43553" w:rsidRDefault="00B36987" w:rsidP="005256DC">
            <w:pPr>
              <w:jc w:val="both"/>
              <w:rPr>
                <w:sz w:val="22"/>
                <w:szCs w:val="22"/>
                <w:lang w:val="nl-NL"/>
              </w:rPr>
            </w:pPr>
            <w:r w:rsidRPr="00B43553">
              <w:rPr>
                <w:sz w:val="22"/>
                <w:szCs w:val="22"/>
                <w:lang w:val="nl-NL"/>
              </w:rPr>
              <w:t xml:space="preserve">- Như trên; </w:t>
            </w:r>
          </w:p>
          <w:p w:rsidR="00B36987" w:rsidRPr="00746348" w:rsidRDefault="00B36987" w:rsidP="005256DC">
            <w:pPr>
              <w:jc w:val="both"/>
              <w:rPr>
                <w:sz w:val="22"/>
                <w:szCs w:val="22"/>
                <w:lang w:val="nl-NL"/>
              </w:rPr>
            </w:pPr>
            <w:r w:rsidRPr="00B43553">
              <w:rPr>
                <w:sz w:val="22"/>
                <w:szCs w:val="22"/>
                <w:lang w:val="nl-NL"/>
              </w:rPr>
              <w:t xml:space="preserve">- </w:t>
            </w:r>
            <w:r>
              <w:rPr>
                <w:sz w:val="22"/>
                <w:szCs w:val="22"/>
                <w:lang w:val="nl-NL"/>
              </w:rPr>
              <w:t>P.KT</w:t>
            </w:r>
            <w:r w:rsidR="00DE4F49">
              <w:rPr>
                <w:sz w:val="22"/>
                <w:szCs w:val="22"/>
                <w:lang w:val="nl-NL"/>
              </w:rPr>
              <w:t>3</w:t>
            </w:r>
            <w:r w:rsidR="00A87870">
              <w:rPr>
                <w:sz w:val="22"/>
                <w:szCs w:val="22"/>
                <w:lang w:val="nl-NL"/>
              </w:rPr>
              <w:t>;</w:t>
            </w:r>
          </w:p>
          <w:p w:rsidR="00B36987" w:rsidRPr="00B43553" w:rsidRDefault="00B36987" w:rsidP="005256DC">
            <w:pPr>
              <w:jc w:val="both"/>
              <w:rPr>
                <w:sz w:val="22"/>
                <w:szCs w:val="22"/>
                <w:lang w:val="nl-NL"/>
              </w:rPr>
            </w:pPr>
            <w:r w:rsidRPr="00B43553">
              <w:rPr>
                <w:sz w:val="22"/>
                <w:szCs w:val="22"/>
                <w:lang w:val="nl-NL"/>
              </w:rPr>
              <w:t>- P.PC</w:t>
            </w:r>
            <w:r w:rsidR="00A87870">
              <w:rPr>
                <w:sz w:val="22"/>
                <w:szCs w:val="22"/>
                <w:lang w:val="nl-NL"/>
              </w:rPr>
              <w:t>;</w:t>
            </w:r>
          </w:p>
          <w:p w:rsidR="00B36987" w:rsidRDefault="00B36987" w:rsidP="005256DC">
            <w:pPr>
              <w:ind w:right="-714"/>
              <w:jc w:val="both"/>
              <w:rPr>
                <w:sz w:val="22"/>
                <w:szCs w:val="22"/>
                <w:lang w:val="nl-NL"/>
              </w:rPr>
            </w:pPr>
            <w:r w:rsidRPr="00B43553">
              <w:rPr>
                <w:sz w:val="22"/>
                <w:szCs w:val="22"/>
                <w:lang w:val="nl-NL"/>
              </w:rPr>
              <w:t xml:space="preserve">- Lưu (TTHT, </w:t>
            </w:r>
            <w:r w:rsidR="00F856A3">
              <w:rPr>
                <w:sz w:val="22"/>
                <w:szCs w:val="22"/>
                <w:lang w:val="nl-NL"/>
              </w:rPr>
              <w:t>VT</w:t>
            </w:r>
            <w:r w:rsidRPr="00B43553">
              <w:rPr>
                <w:sz w:val="22"/>
                <w:szCs w:val="22"/>
                <w:lang w:val="nl-NL"/>
              </w:rPr>
              <w:t>).</w:t>
            </w:r>
          </w:p>
          <w:p w:rsidR="00B36987" w:rsidRPr="00B7420B" w:rsidRDefault="00DE4F49" w:rsidP="00DE4F49">
            <w:pPr>
              <w:ind w:right="-714"/>
              <w:jc w:val="both"/>
              <w:rPr>
                <w:sz w:val="22"/>
                <w:szCs w:val="22"/>
                <w:lang w:val="nl-NL"/>
              </w:rPr>
            </w:pPr>
            <w:r>
              <w:rPr>
                <w:sz w:val="22"/>
                <w:szCs w:val="22"/>
                <w:lang w:val="nl-NL"/>
              </w:rPr>
              <w:t>308</w:t>
            </w:r>
            <w:r w:rsidR="00F856A3">
              <w:rPr>
                <w:sz w:val="22"/>
                <w:szCs w:val="22"/>
                <w:lang w:val="nl-NL"/>
              </w:rPr>
              <w:t>-</w:t>
            </w:r>
            <w:r>
              <w:rPr>
                <w:sz w:val="22"/>
                <w:szCs w:val="22"/>
                <w:lang w:val="nl-NL"/>
              </w:rPr>
              <w:t>12470</w:t>
            </w:r>
            <w:r w:rsidR="00CB654F">
              <w:rPr>
                <w:sz w:val="22"/>
                <w:szCs w:val="22"/>
                <w:lang w:val="nl-NL"/>
              </w:rPr>
              <w:t>-Lnlinh</w:t>
            </w:r>
          </w:p>
        </w:tc>
        <w:tc>
          <w:tcPr>
            <w:tcW w:w="5096" w:type="dxa"/>
          </w:tcPr>
          <w:p w:rsidR="00B36987" w:rsidRPr="00C55A3E" w:rsidRDefault="00B36987" w:rsidP="005256DC">
            <w:pPr>
              <w:jc w:val="center"/>
              <w:rPr>
                <w:b/>
                <w:lang w:val="nl-NL"/>
              </w:rPr>
            </w:pPr>
            <w:r w:rsidRPr="00B34DF4">
              <w:rPr>
                <w:b/>
                <w:sz w:val="28"/>
                <w:szCs w:val="28"/>
                <w:lang w:val="nl-NL"/>
              </w:rPr>
              <w:t>KT</w:t>
            </w:r>
            <w:r w:rsidRPr="00C55A3E">
              <w:rPr>
                <w:b/>
                <w:lang w:val="nl-NL"/>
              </w:rPr>
              <w:t>. CỤC TRƯỞNG</w:t>
            </w:r>
          </w:p>
          <w:p w:rsidR="00B36987" w:rsidRPr="00C55A3E" w:rsidRDefault="00B36987" w:rsidP="005256DC">
            <w:pPr>
              <w:jc w:val="center"/>
              <w:rPr>
                <w:b/>
                <w:lang w:val="nl-NL"/>
              </w:rPr>
            </w:pPr>
            <w:r w:rsidRPr="00C55A3E">
              <w:rPr>
                <w:b/>
                <w:lang w:val="nl-NL"/>
              </w:rPr>
              <w:t>PHÓ CỤC TRƯỞNG</w:t>
            </w:r>
          </w:p>
          <w:p w:rsidR="00B36987" w:rsidRDefault="00B36987" w:rsidP="00B36987">
            <w:pPr>
              <w:rPr>
                <w:lang w:val="nl-NL"/>
              </w:rPr>
            </w:pPr>
          </w:p>
          <w:p w:rsidR="00B36987" w:rsidRDefault="00B36987" w:rsidP="00B36987">
            <w:pPr>
              <w:rPr>
                <w:lang w:val="nl-NL"/>
              </w:rPr>
            </w:pPr>
          </w:p>
          <w:p w:rsidR="00B36987" w:rsidRDefault="00D64371" w:rsidP="00D64371">
            <w:pPr>
              <w:jc w:val="center"/>
              <w:rPr>
                <w:lang w:val="nl-NL"/>
              </w:rPr>
            </w:pPr>
            <w:r w:rsidRPr="00D64371">
              <w:rPr>
                <w:lang w:val="nl-NL"/>
              </w:rPr>
              <w:t>Đã</w:t>
            </w:r>
            <w:r>
              <w:rPr>
                <w:lang w:val="nl-NL"/>
              </w:rPr>
              <w:t xml:space="preserve"> k</w:t>
            </w:r>
            <w:r w:rsidRPr="00D64371">
              <w:rPr>
                <w:lang w:val="nl-NL"/>
              </w:rPr>
              <w:t>ý</w:t>
            </w:r>
          </w:p>
          <w:p w:rsidR="00E133F8" w:rsidRDefault="00E133F8" w:rsidP="00B36987">
            <w:pPr>
              <w:rPr>
                <w:lang w:val="nl-NL"/>
              </w:rPr>
            </w:pPr>
          </w:p>
          <w:p w:rsidR="00B36987" w:rsidRDefault="00B36987" w:rsidP="00B36987">
            <w:pPr>
              <w:rPr>
                <w:lang w:val="nl-NL"/>
              </w:rPr>
            </w:pPr>
          </w:p>
          <w:p w:rsidR="00B36987" w:rsidRPr="00C55A3E" w:rsidRDefault="00B36987" w:rsidP="00B36987">
            <w:pPr>
              <w:rPr>
                <w:b/>
                <w:lang w:val="nl-NL"/>
              </w:rPr>
            </w:pPr>
          </w:p>
          <w:p w:rsidR="00B36987" w:rsidRPr="008A5A15" w:rsidRDefault="00B36987" w:rsidP="005256DC">
            <w:pPr>
              <w:jc w:val="center"/>
              <w:rPr>
                <w:b/>
                <w:sz w:val="28"/>
                <w:szCs w:val="28"/>
                <w:lang w:val="nl-NL"/>
              </w:rPr>
            </w:pPr>
            <w:r>
              <w:rPr>
                <w:b/>
                <w:sz w:val="28"/>
                <w:szCs w:val="28"/>
                <w:lang w:val="nl-NL"/>
              </w:rPr>
              <w:t>Tr</w:t>
            </w:r>
            <w:r w:rsidRPr="009F1D21">
              <w:rPr>
                <w:b/>
                <w:sz w:val="28"/>
                <w:szCs w:val="28"/>
                <w:lang w:val="nl-NL"/>
              </w:rPr>
              <w:t>ầ</w:t>
            </w:r>
            <w:r>
              <w:rPr>
                <w:b/>
                <w:sz w:val="28"/>
                <w:szCs w:val="28"/>
                <w:lang w:val="nl-NL"/>
              </w:rPr>
              <w:t>n Th</w:t>
            </w:r>
            <w:r w:rsidRPr="009F1D21">
              <w:rPr>
                <w:b/>
                <w:sz w:val="28"/>
                <w:szCs w:val="28"/>
                <w:lang w:val="nl-NL"/>
              </w:rPr>
              <w:t>ị</w:t>
            </w:r>
            <w:r>
              <w:rPr>
                <w:b/>
                <w:sz w:val="28"/>
                <w:szCs w:val="28"/>
                <w:lang w:val="nl-NL"/>
              </w:rPr>
              <w:t xml:space="preserve"> L</w:t>
            </w:r>
            <w:r w:rsidRPr="009F1D21">
              <w:rPr>
                <w:b/>
                <w:sz w:val="28"/>
                <w:szCs w:val="28"/>
                <w:lang w:val="nl-NL"/>
              </w:rPr>
              <w:t>ệ</w:t>
            </w:r>
            <w:r>
              <w:rPr>
                <w:b/>
                <w:sz w:val="28"/>
                <w:szCs w:val="28"/>
                <w:lang w:val="nl-NL"/>
              </w:rPr>
              <w:t xml:space="preserve"> Nga </w:t>
            </w:r>
          </w:p>
        </w:tc>
      </w:tr>
    </w:tbl>
    <w:p w:rsidR="00C20B54" w:rsidRPr="002002F3" w:rsidRDefault="00C20B54" w:rsidP="00E133F8">
      <w:pPr>
        <w:tabs>
          <w:tab w:val="left" w:pos="7425"/>
        </w:tabs>
        <w:rPr>
          <w:sz w:val="22"/>
        </w:rPr>
      </w:pPr>
    </w:p>
    <w:sectPr w:rsidR="00C20B54" w:rsidRPr="002002F3" w:rsidSect="00302BBE">
      <w:footerReference w:type="default" r:id="rId6"/>
      <w:pgSz w:w="12240" w:h="15840"/>
      <w:pgMar w:top="990" w:right="1259" w:bottom="397" w:left="179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179" w:rsidRDefault="00A05179">
      <w:r>
        <w:separator/>
      </w:r>
    </w:p>
  </w:endnote>
  <w:endnote w:type="continuationSeparator" w:id="0">
    <w:p w:rsidR="00A05179" w:rsidRDefault="00A05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F8" w:rsidRPr="00761E88" w:rsidRDefault="00F60EF8" w:rsidP="00763B22">
    <w:pPr>
      <w:spacing w:before="60" w:after="60"/>
      <w:ind w:firstLine="540"/>
      <w:jc w:val="both"/>
      <w:rPr>
        <w:b/>
        <w:i/>
        <w:sz w:val="26"/>
        <w:szCs w:val="26"/>
      </w:rPr>
    </w:pPr>
    <w:r w:rsidRPr="003C4CFC">
      <w:rPr>
        <w:b/>
        <w:color w:val="0000FF"/>
      </w:rPr>
      <w:t>We</w:t>
    </w:r>
    <w:r>
      <w:rPr>
        <w:b/>
        <w:color w:val="0000FF"/>
      </w:rPr>
      <w:t>b</w:t>
    </w:r>
    <w:r w:rsidRPr="003C4CFC">
      <w:rPr>
        <w:b/>
        <w:color w:val="0000FF"/>
      </w:rPr>
      <w:t xml:space="preserve">site Cục thuế thành phố Hồ Chí Minh : </w:t>
    </w:r>
    <w:hyperlink r:id="rId1" w:tooltip="http://tphcm.gdt.gov.vn/" w:history="1">
      <w:r w:rsidRPr="00763B22">
        <w:rPr>
          <w:b/>
          <w:color w:val="0000FF"/>
          <w:u w:val="single"/>
          <w:lang w:val="vi-VN"/>
        </w:rPr>
        <w:t>http://tphcm.gdt.gov.vn</w:t>
      </w:r>
    </w:hyperlink>
    <w:r w:rsidRPr="00763B22">
      <w:rPr>
        <w:b/>
        <w:color w:val="0000FF"/>
        <w:szCs w:val="28"/>
        <w:u w:val="single"/>
        <w:lang w:val="vi-VN"/>
      </w:rPr>
      <w:t>/wps/portal </w:t>
    </w:r>
  </w:p>
  <w:p w:rsidR="00F60EF8" w:rsidRPr="00550046" w:rsidRDefault="005B2101" w:rsidP="00627A72">
    <w:pPr>
      <w:ind w:right="180"/>
      <w:jc w:val="center"/>
      <w:rPr>
        <w:b/>
        <w:color w:val="0000FF"/>
        <w:u w:val="single"/>
      </w:rPr>
    </w:pPr>
    <w:r w:rsidRPr="005B2101">
      <w:rPr>
        <w:noProof/>
        <w:color w:val="0000FF"/>
        <w:sz w:val="26"/>
      </w:rPr>
      <w:pict>
        <v:line id="_x0000_s1025" style="position:absolute;left:0;text-align:left;flip:y;z-index:251657728" from="0,-19.25pt" to="459.9pt,-18.9pt"/>
      </w:pict>
    </w:r>
  </w:p>
  <w:p w:rsidR="00F60EF8" w:rsidRDefault="00F60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179" w:rsidRDefault="00A05179">
      <w:r>
        <w:separator/>
      </w:r>
    </w:p>
  </w:footnote>
  <w:footnote w:type="continuationSeparator" w:id="0">
    <w:p w:rsidR="00A05179" w:rsidRDefault="00A05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297359"/>
    <w:rsid w:val="000001A5"/>
    <w:rsid w:val="00002828"/>
    <w:rsid w:val="00021F33"/>
    <w:rsid w:val="000227E9"/>
    <w:rsid w:val="00023AC0"/>
    <w:rsid w:val="00024C17"/>
    <w:rsid w:val="000422C4"/>
    <w:rsid w:val="00054CF2"/>
    <w:rsid w:val="000632FF"/>
    <w:rsid w:val="00091FED"/>
    <w:rsid w:val="00095A52"/>
    <w:rsid w:val="000A2AB2"/>
    <w:rsid w:val="000A6BD9"/>
    <w:rsid w:val="000B0071"/>
    <w:rsid w:val="000B48F9"/>
    <w:rsid w:val="000B772B"/>
    <w:rsid w:val="000C0C3B"/>
    <w:rsid w:val="000C1C6C"/>
    <w:rsid w:val="000D7EB9"/>
    <w:rsid w:val="000E1724"/>
    <w:rsid w:val="000F71D5"/>
    <w:rsid w:val="00102095"/>
    <w:rsid w:val="001164DB"/>
    <w:rsid w:val="00127837"/>
    <w:rsid w:val="00127AA2"/>
    <w:rsid w:val="001348E8"/>
    <w:rsid w:val="0014176E"/>
    <w:rsid w:val="00141E55"/>
    <w:rsid w:val="00162799"/>
    <w:rsid w:val="00173503"/>
    <w:rsid w:val="00176CCE"/>
    <w:rsid w:val="00186D3F"/>
    <w:rsid w:val="00192A14"/>
    <w:rsid w:val="001A3550"/>
    <w:rsid w:val="001A4191"/>
    <w:rsid w:val="001B49EF"/>
    <w:rsid w:val="001C37B9"/>
    <w:rsid w:val="001C5739"/>
    <w:rsid w:val="001C7E96"/>
    <w:rsid w:val="001D06E6"/>
    <w:rsid w:val="001F7C69"/>
    <w:rsid w:val="002002F3"/>
    <w:rsid w:val="00212836"/>
    <w:rsid w:val="00232AE4"/>
    <w:rsid w:val="00252893"/>
    <w:rsid w:val="002719DF"/>
    <w:rsid w:val="00275EDD"/>
    <w:rsid w:val="002821AE"/>
    <w:rsid w:val="00284095"/>
    <w:rsid w:val="00297359"/>
    <w:rsid w:val="002C16F0"/>
    <w:rsid w:val="002C4573"/>
    <w:rsid w:val="002C6D23"/>
    <w:rsid w:val="002C7FEF"/>
    <w:rsid w:val="002D18AB"/>
    <w:rsid w:val="002E3387"/>
    <w:rsid w:val="002E57A5"/>
    <w:rsid w:val="00302BBE"/>
    <w:rsid w:val="00305D33"/>
    <w:rsid w:val="00316534"/>
    <w:rsid w:val="00316CC2"/>
    <w:rsid w:val="00320B01"/>
    <w:rsid w:val="00326529"/>
    <w:rsid w:val="00334A61"/>
    <w:rsid w:val="00347EE2"/>
    <w:rsid w:val="003538A7"/>
    <w:rsid w:val="0039752A"/>
    <w:rsid w:val="003B2AEF"/>
    <w:rsid w:val="003D639C"/>
    <w:rsid w:val="003D63AA"/>
    <w:rsid w:val="003E473D"/>
    <w:rsid w:val="003F30B1"/>
    <w:rsid w:val="004105CD"/>
    <w:rsid w:val="004115A0"/>
    <w:rsid w:val="00413AAE"/>
    <w:rsid w:val="00424E1C"/>
    <w:rsid w:val="004311C6"/>
    <w:rsid w:val="0043310D"/>
    <w:rsid w:val="00450253"/>
    <w:rsid w:val="0045160A"/>
    <w:rsid w:val="00453BA6"/>
    <w:rsid w:val="00460EA9"/>
    <w:rsid w:val="00465DF4"/>
    <w:rsid w:val="0049550D"/>
    <w:rsid w:val="00495D48"/>
    <w:rsid w:val="00497A57"/>
    <w:rsid w:val="004B60F4"/>
    <w:rsid w:val="004C5E1D"/>
    <w:rsid w:val="004D1F29"/>
    <w:rsid w:val="004F1664"/>
    <w:rsid w:val="004F29C5"/>
    <w:rsid w:val="005004B8"/>
    <w:rsid w:val="005256DC"/>
    <w:rsid w:val="00525A50"/>
    <w:rsid w:val="0053776D"/>
    <w:rsid w:val="00552BEE"/>
    <w:rsid w:val="00555B84"/>
    <w:rsid w:val="00556DB7"/>
    <w:rsid w:val="00557C83"/>
    <w:rsid w:val="0057588D"/>
    <w:rsid w:val="005A27FE"/>
    <w:rsid w:val="005B2101"/>
    <w:rsid w:val="005C17D3"/>
    <w:rsid w:val="005D5B2F"/>
    <w:rsid w:val="005E3E63"/>
    <w:rsid w:val="005E5F49"/>
    <w:rsid w:val="005E6F88"/>
    <w:rsid w:val="005F0F24"/>
    <w:rsid w:val="005F3B3F"/>
    <w:rsid w:val="00606595"/>
    <w:rsid w:val="0061183A"/>
    <w:rsid w:val="0062069B"/>
    <w:rsid w:val="00622500"/>
    <w:rsid w:val="00627A72"/>
    <w:rsid w:val="00636148"/>
    <w:rsid w:val="006426A4"/>
    <w:rsid w:val="0066039A"/>
    <w:rsid w:val="00673512"/>
    <w:rsid w:val="00685BED"/>
    <w:rsid w:val="006959F0"/>
    <w:rsid w:val="006B194F"/>
    <w:rsid w:val="006B2031"/>
    <w:rsid w:val="006B76B0"/>
    <w:rsid w:val="006D0748"/>
    <w:rsid w:val="006E065E"/>
    <w:rsid w:val="006E14D2"/>
    <w:rsid w:val="006E4218"/>
    <w:rsid w:val="006F4615"/>
    <w:rsid w:val="007266BE"/>
    <w:rsid w:val="00733746"/>
    <w:rsid w:val="0074012E"/>
    <w:rsid w:val="007425DE"/>
    <w:rsid w:val="00744D47"/>
    <w:rsid w:val="00747485"/>
    <w:rsid w:val="007622FD"/>
    <w:rsid w:val="00763B22"/>
    <w:rsid w:val="007833F0"/>
    <w:rsid w:val="0078510A"/>
    <w:rsid w:val="00785B66"/>
    <w:rsid w:val="00792D5C"/>
    <w:rsid w:val="007A4308"/>
    <w:rsid w:val="007B7C42"/>
    <w:rsid w:val="007E3F5D"/>
    <w:rsid w:val="007F5B1F"/>
    <w:rsid w:val="00803B26"/>
    <w:rsid w:val="00810A39"/>
    <w:rsid w:val="008111A8"/>
    <w:rsid w:val="008111D1"/>
    <w:rsid w:val="00845C85"/>
    <w:rsid w:val="00852BFB"/>
    <w:rsid w:val="00866B16"/>
    <w:rsid w:val="00871327"/>
    <w:rsid w:val="0087199A"/>
    <w:rsid w:val="0087522F"/>
    <w:rsid w:val="00876AEE"/>
    <w:rsid w:val="00882966"/>
    <w:rsid w:val="00897F32"/>
    <w:rsid w:val="008D4275"/>
    <w:rsid w:val="008E0612"/>
    <w:rsid w:val="008F29F1"/>
    <w:rsid w:val="008F45CA"/>
    <w:rsid w:val="00911CE0"/>
    <w:rsid w:val="009179CC"/>
    <w:rsid w:val="009308A7"/>
    <w:rsid w:val="00935CD8"/>
    <w:rsid w:val="009718B4"/>
    <w:rsid w:val="009A0095"/>
    <w:rsid w:val="009A5EBA"/>
    <w:rsid w:val="009A6ADA"/>
    <w:rsid w:val="009F115F"/>
    <w:rsid w:val="009F3AE7"/>
    <w:rsid w:val="009F6FD4"/>
    <w:rsid w:val="00A05179"/>
    <w:rsid w:val="00A0668B"/>
    <w:rsid w:val="00A20F50"/>
    <w:rsid w:val="00A21FC5"/>
    <w:rsid w:val="00A521B7"/>
    <w:rsid w:val="00A74792"/>
    <w:rsid w:val="00A87870"/>
    <w:rsid w:val="00A9556F"/>
    <w:rsid w:val="00AA536B"/>
    <w:rsid w:val="00AA6935"/>
    <w:rsid w:val="00AB0A4C"/>
    <w:rsid w:val="00AB416C"/>
    <w:rsid w:val="00AC25BC"/>
    <w:rsid w:val="00AD05F6"/>
    <w:rsid w:val="00AD0AF0"/>
    <w:rsid w:val="00AD4BB2"/>
    <w:rsid w:val="00AE48F7"/>
    <w:rsid w:val="00AE6003"/>
    <w:rsid w:val="00B07C9B"/>
    <w:rsid w:val="00B27881"/>
    <w:rsid w:val="00B313A3"/>
    <w:rsid w:val="00B32330"/>
    <w:rsid w:val="00B36987"/>
    <w:rsid w:val="00B41B9F"/>
    <w:rsid w:val="00B4348A"/>
    <w:rsid w:val="00B53917"/>
    <w:rsid w:val="00B700EB"/>
    <w:rsid w:val="00B7236E"/>
    <w:rsid w:val="00B74249"/>
    <w:rsid w:val="00B74E46"/>
    <w:rsid w:val="00B8716B"/>
    <w:rsid w:val="00B87FA7"/>
    <w:rsid w:val="00B96807"/>
    <w:rsid w:val="00BA2A28"/>
    <w:rsid w:val="00BB2264"/>
    <w:rsid w:val="00BB3A94"/>
    <w:rsid w:val="00BB647A"/>
    <w:rsid w:val="00BB7450"/>
    <w:rsid w:val="00BD3973"/>
    <w:rsid w:val="00BE0A89"/>
    <w:rsid w:val="00BF4BC6"/>
    <w:rsid w:val="00BF55C2"/>
    <w:rsid w:val="00C05681"/>
    <w:rsid w:val="00C0645C"/>
    <w:rsid w:val="00C14E6F"/>
    <w:rsid w:val="00C16C13"/>
    <w:rsid w:val="00C1743F"/>
    <w:rsid w:val="00C20B54"/>
    <w:rsid w:val="00C317B5"/>
    <w:rsid w:val="00C35F7C"/>
    <w:rsid w:val="00C54CFA"/>
    <w:rsid w:val="00C6309A"/>
    <w:rsid w:val="00C634CF"/>
    <w:rsid w:val="00C71B1A"/>
    <w:rsid w:val="00C72D64"/>
    <w:rsid w:val="00CA1BA3"/>
    <w:rsid w:val="00CA45E5"/>
    <w:rsid w:val="00CB310B"/>
    <w:rsid w:val="00CB654F"/>
    <w:rsid w:val="00CB658D"/>
    <w:rsid w:val="00D032E8"/>
    <w:rsid w:val="00D10FC4"/>
    <w:rsid w:val="00D14545"/>
    <w:rsid w:val="00D31605"/>
    <w:rsid w:val="00D353EB"/>
    <w:rsid w:val="00D477C6"/>
    <w:rsid w:val="00D60743"/>
    <w:rsid w:val="00D61331"/>
    <w:rsid w:val="00D64371"/>
    <w:rsid w:val="00D74A77"/>
    <w:rsid w:val="00D91062"/>
    <w:rsid w:val="00D92E38"/>
    <w:rsid w:val="00DA74E9"/>
    <w:rsid w:val="00DB0DDF"/>
    <w:rsid w:val="00DC51B3"/>
    <w:rsid w:val="00DD39E3"/>
    <w:rsid w:val="00DD7139"/>
    <w:rsid w:val="00DE4F49"/>
    <w:rsid w:val="00E034A4"/>
    <w:rsid w:val="00E03B56"/>
    <w:rsid w:val="00E133F8"/>
    <w:rsid w:val="00E16252"/>
    <w:rsid w:val="00E16E20"/>
    <w:rsid w:val="00E24A63"/>
    <w:rsid w:val="00E32872"/>
    <w:rsid w:val="00E36D5D"/>
    <w:rsid w:val="00E36E27"/>
    <w:rsid w:val="00E37889"/>
    <w:rsid w:val="00E51B9F"/>
    <w:rsid w:val="00E61741"/>
    <w:rsid w:val="00E67B1D"/>
    <w:rsid w:val="00E86510"/>
    <w:rsid w:val="00EC23E0"/>
    <w:rsid w:val="00EC327C"/>
    <w:rsid w:val="00EC79F0"/>
    <w:rsid w:val="00ED386A"/>
    <w:rsid w:val="00EF1A48"/>
    <w:rsid w:val="00EF464A"/>
    <w:rsid w:val="00F035EB"/>
    <w:rsid w:val="00F07D8D"/>
    <w:rsid w:val="00F14536"/>
    <w:rsid w:val="00F60EF8"/>
    <w:rsid w:val="00F74238"/>
    <w:rsid w:val="00F856A3"/>
    <w:rsid w:val="00F87E1C"/>
    <w:rsid w:val="00FB2E32"/>
    <w:rsid w:val="00FC14C6"/>
    <w:rsid w:val="00FD496B"/>
    <w:rsid w:val="00FD7FC5"/>
    <w:rsid w:val="00FF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4"/>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545"/>
    <w:rPr>
      <w:sz w:val="24"/>
      <w:szCs w:val="24"/>
    </w:rPr>
  </w:style>
  <w:style w:type="paragraph" w:styleId="Heading1">
    <w:name w:val="heading 1"/>
    <w:basedOn w:val="Normal"/>
    <w:next w:val="Normal"/>
    <w:link w:val="Heading1Char"/>
    <w:qFormat/>
    <w:rsid w:val="006118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7359"/>
    <w:pPr>
      <w:tabs>
        <w:tab w:val="center" w:pos="4320"/>
        <w:tab w:val="right" w:pos="8640"/>
      </w:tabs>
    </w:pPr>
  </w:style>
  <w:style w:type="paragraph" w:styleId="BalloonText">
    <w:name w:val="Balloon Text"/>
    <w:basedOn w:val="Normal"/>
    <w:semiHidden/>
    <w:rsid w:val="006F4615"/>
    <w:rPr>
      <w:rFonts w:ascii="Tahoma" w:hAnsi="Tahoma" w:cs="Tahoma"/>
      <w:sz w:val="16"/>
      <w:szCs w:val="16"/>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622FD"/>
    <w:pPr>
      <w:spacing w:after="160" w:line="240" w:lineRule="exact"/>
    </w:pPr>
    <w:rPr>
      <w:rFonts w:ascii="Verdana" w:hAnsi="Verdana"/>
      <w:sz w:val="20"/>
      <w:szCs w:val="20"/>
    </w:rPr>
  </w:style>
  <w:style w:type="paragraph" w:styleId="Header">
    <w:name w:val="header"/>
    <w:basedOn w:val="Normal"/>
    <w:rsid w:val="00E32872"/>
    <w:pPr>
      <w:tabs>
        <w:tab w:val="center" w:pos="4320"/>
        <w:tab w:val="right" w:pos="8640"/>
      </w:tabs>
    </w:pPr>
  </w:style>
  <w:style w:type="paragraph" w:customStyle="1" w:styleId="Char">
    <w:name w:val="Char"/>
    <w:basedOn w:val="Normal"/>
    <w:rsid w:val="00763B22"/>
    <w:pPr>
      <w:spacing w:after="160" w:line="240" w:lineRule="exact"/>
    </w:pPr>
    <w:rPr>
      <w:rFonts w:ascii="Verdana" w:hAnsi="Verdana"/>
      <w:sz w:val="20"/>
      <w:szCs w:val="20"/>
    </w:rPr>
  </w:style>
  <w:style w:type="character" w:customStyle="1" w:styleId="Heading1Char">
    <w:name w:val="Heading 1 Char"/>
    <w:basedOn w:val="DefaultParagraphFont"/>
    <w:link w:val="Heading1"/>
    <w:rsid w:val="0061183A"/>
    <w:rPr>
      <w:rFonts w:asciiTheme="majorHAnsi" w:eastAsiaTheme="majorEastAsia" w:hAnsiTheme="majorHAnsi" w:cstheme="majorBidi"/>
      <w:b/>
      <w:bCs/>
      <w:color w:val="365F91" w:themeColor="accent1" w:themeShade="BF"/>
      <w:sz w:val="28"/>
      <w:szCs w:val="28"/>
    </w:rPr>
  </w:style>
  <w:style w:type="paragraph" w:customStyle="1" w:styleId="Char0">
    <w:name w:val="Char"/>
    <w:basedOn w:val="Normal"/>
    <w:autoRedefine/>
    <w:rsid w:val="00F07D8D"/>
    <w:pPr>
      <w:spacing w:after="160" w:line="240" w:lineRule="exact"/>
    </w:pPr>
    <w:rPr>
      <w:rFonts w:ascii="Verdana" w:hAnsi="Verdana" w:cs="Verdana"/>
      <w:sz w:val="20"/>
      <w:szCs w:val="20"/>
    </w:rPr>
  </w:style>
  <w:style w:type="paragraph" w:styleId="BodyTextIndent">
    <w:name w:val="Body Text Indent"/>
    <w:aliases w:val="Body Text Indent Char1,Body Text Indent Char1 Char Char,Body Text Indent Char1 Char Char Char Char,Body Text Indent Char1 Char Char Char Char "/>
    <w:basedOn w:val="Normal"/>
    <w:link w:val="BodyTextIndentChar2"/>
    <w:rsid w:val="005256DC"/>
    <w:pPr>
      <w:autoSpaceDE w:val="0"/>
      <w:autoSpaceDN w:val="0"/>
      <w:spacing w:after="120"/>
      <w:ind w:firstLine="567"/>
      <w:jc w:val="both"/>
    </w:pPr>
    <w:rPr>
      <w:rFonts w:ascii=".VnTime" w:eastAsia="Batang" w:hAnsi=".VnTime"/>
      <w:color w:val="000000"/>
      <w:sz w:val="28"/>
      <w:szCs w:val="28"/>
    </w:rPr>
  </w:style>
  <w:style w:type="character" w:customStyle="1" w:styleId="BodyTextIndentChar">
    <w:name w:val="Body Text Indent Char"/>
    <w:basedOn w:val="DefaultParagraphFont"/>
    <w:link w:val="BodyTextIndent"/>
    <w:rsid w:val="005256DC"/>
    <w:rPr>
      <w:sz w:val="24"/>
      <w:szCs w:val="24"/>
    </w:rPr>
  </w:style>
  <w:style w:type="character" w:customStyle="1" w:styleId="BodyTextIndentChar2">
    <w:name w:val="Body Text Indent Char2"/>
    <w:aliases w:val="Body Text Indent Char1 Char,Body Text Indent Char1 Char Char Char,Body Text Indent Char1 Char Char Char Char Char,Body Text Indent Char1 Char Char Char Char  Char"/>
    <w:basedOn w:val="DefaultParagraphFont"/>
    <w:link w:val="BodyTextIndent"/>
    <w:locked/>
    <w:rsid w:val="005256DC"/>
    <w:rPr>
      <w:rFonts w:ascii=".VnTime" w:eastAsia="Batang" w:hAnsi=".VnTime"/>
      <w:color w:val="000000"/>
      <w:sz w:val="28"/>
      <w:szCs w:val="28"/>
    </w:rPr>
  </w:style>
  <w:style w:type="paragraph" w:styleId="ListParagraph">
    <w:name w:val="List Paragraph"/>
    <w:basedOn w:val="Normal"/>
    <w:qFormat/>
    <w:rsid w:val="00B41B9F"/>
    <w:pPr>
      <w:spacing w:after="200" w:line="276" w:lineRule="auto"/>
      <w:ind w:left="720"/>
      <w:contextualSpacing/>
    </w:pPr>
    <w:rPr>
      <w:rFonts w:eastAsia="Calibri"/>
      <w:sz w:val="28"/>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tphcm.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TỔNG CỤC THUẾ</vt:lpstr>
    </vt:vector>
  </TitlesOfParts>
  <Company>TONG CUC THUE</Company>
  <LinksUpToDate>false</LinksUpToDate>
  <CharactersWithSpaces>4132</CharactersWithSpaces>
  <SharedDoc>false</SharedDoc>
  <HLinks>
    <vt:vector size="6" baseType="variant">
      <vt:variant>
        <vt:i4>65617</vt:i4>
      </vt:variant>
      <vt:variant>
        <vt:i4>0</vt:i4>
      </vt:variant>
      <vt:variant>
        <vt:i4>0</vt:i4>
      </vt:variant>
      <vt:variant>
        <vt:i4>5</vt:i4>
      </vt:variant>
      <vt:variant>
        <vt:lpwstr>http://tphcm.gdt.gov.vn/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THUẾ</dc:title>
  <dc:creator>Tong Cuc Thue</dc:creator>
  <cp:lastModifiedBy>lnlinh</cp:lastModifiedBy>
  <cp:revision>8</cp:revision>
  <cp:lastPrinted>2015-02-09T08:03:00Z</cp:lastPrinted>
  <dcterms:created xsi:type="dcterms:W3CDTF">2015-02-09T01:53:00Z</dcterms:created>
  <dcterms:modified xsi:type="dcterms:W3CDTF">2015-03-23T02:25:00Z</dcterms:modified>
</cp:coreProperties>
</file>